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53" w:rsidRPr="005869B1" w:rsidRDefault="003E7353" w:rsidP="005869B1">
      <w:pPr>
        <w:spacing w:after="0" w:line="240" w:lineRule="auto"/>
        <w:jc w:val="center"/>
        <w:rPr>
          <w:rFonts w:ascii="Times New Roman" w:hAnsi="Times New Roman" w:cs="Times New Roman"/>
          <w:b/>
          <w:sz w:val="26"/>
          <w:szCs w:val="26"/>
        </w:rPr>
      </w:pPr>
      <w:r w:rsidRPr="005869B1">
        <w:rPr>
          <w:rFonts w:ascii="Times New Roman" w:hAnsi="Times New Roman" w:cs="Times New Roman"/>
          <w:b/>
          <w:sz w:val="26"/>
          <w:szCs w:val="26"/>
        </w:rPr>
        <w:t>ПАМЯТКА</w:t>
      </w:r>
    </w:p>
    <w:p w:rsidR="003E7353" w:rsidRPr="005869B1" w:rsidRDefault="003E7353" w:rsidP="005869B1">
      <w:pPr>
        <w:spacing w:after="0" w:line="240" w:lineRule="auto"/>
        <w:jc w:val="center"/>
        <w:rPr>
          <w:rFonts w:ascii="Times New Roman" w:hAnsi="Times New Roman" w:cs="Times New Roman"/>
          <w:sz w:val="26"/>
          <w:szCs w:val="26"/>
        </w:rPr>
      </w:pPr>
      <w:r w:rsidRPr="005869B1">
        <w:rPr>
          <w:rFonts w:ascii="Times New Roman" w:hAnsi="Times New Roman" w:cs="Times New Roman"/>
          <w:b/>
          <w:sz w:val="26"/>
          <w:szCs w:val="26"/>
        </w:rPr>
        <w:t>о</w:t>
      </w:r>
      <w:r w:rsidR="00447376" w:rsidRPr="005869B1">
        <w:rPr>
          <w:rFonts w:ascii="Times New Roman" w:hAnsi="Times New Roman" w:cs="Times New Roman"/>
          <w:b/>
          <w:sz w:val="26"/>
          <w:szCs w:val="26"/>
        </w:rPr>
        <w:t>б</w:t>
      </w:r>
      <w:r w:rsidRPr="005869B1">
        <w:rPr>
          <w:rFonts w:ascii="Times New Roman" w:hAnsi="Times New Roman" w:cs="Times New Roman"/>
          <w:b/>
          <w:sz w:val="26"/>
          <w:szCs w:val="26"/>
        </w:rPr>
        <w:t xml:space="preserve"> исполнени</w:t>
      </w:r>
      <w:r w:rsidR="00447376" w:rsidRPr="005869B1">
        <w:rPr>
          <w:rFonts w:ascii="Times New Roman" w:hAnsi="Times New Roman" w:cs="Times New Roman"/>
          <w:b/>
          <w:sz w:val="26"/>
          <w:szCs w:val="26"/>
        </w:rPr>
        <w:t>и</w:t>
      </w:r>
      <w:r w:rsidRPr="005869B1">
        <w:rPr>
          <w:rFonts w:ascii="Times New Roman" w:hAnsi="Times New Roman" w:cs="Times New Roman"/>
          <w:b/>
          <w:sz w:val="26"/>
          <w:szCs w:val="26"/>
        </w:rPr>
        <w:t xml:space="preserve"> совокупного годового объема закупок</w:t>
      </w:r>
    </w:p>
    <w:p w:rsidR="003E7353" w:rsidRPr="005869B1" w:rsidRDefault="003E7353" w:rsidP="003E7353">
      <w:pPr>
        <w:spacing w:after="0"/>
        <w:jc w:val="center"/>
        <w:rPr>
          <w:rFonts w:ascii="Times New Roman" w:hAnsi="Times New Roman" w:cs="Times New Roman"/>
          <w:sz w:val="26"/>
          <w:szCs w:val="26"/>
        </w:rPr>
      </w:pPr>
      <w:r w:rsidRPr="005869B1">
        <w:rPr>
          <w:rFonts w:ascii="Times New Roman" w:hAnsi="Times New Roman" w:cs="Times New Roman"/>
          <w:sz w:val="26"/>
          <w:szCs w:val="26"/>
        </w:rPr>
        <w:t>(далее – СГОЗ)</w:t>
      </w:r>
    </w:p>
    <w:p w:rsidR="003E7353" w:rsidRPr="005869B1" w:rsidRDefault="003E7353" w:rsidP="008D1D0E">
      <w:pPr>
        <w:autoSpaceDE w:val="0"/>
        <w:autoSpaceDN w:val="0"/>
        <w:adjustRightInd w:val="0"/>
        <w:spacing w:after="0" w:line="240" w:lineRule="auto"/>
        <w:jc w:val="both"/>
        <w:rPr>
          <w:rFonts w:ascii="Times New Roman" w:hAnsi="Times New Roman" w:cs="Times New Roman"/>
          <w:sz w:val="26"/>
          <w:szCs w:val="26"/>
        </w:rPr>
      </w:pPr>
      <w:r w:rsidRPr="005869B1">
        <w:rPr>
          <w:rFonts w:ascii="Times New Roman" w:hAnsi="Times New Roman" w:cs="Times New Roman"/>
          <w:sz w:val="26"/>
          <w:szCs w:val="26"/>
        </w:rPr>
        <w:t xml:space="preserve">Размер исполнения СГОЗ установлен </w:t>
      </w:r>
      <w:r w:rsidR="001E60C0" w:rsidRPr="005869B1">
        <w:rPr>
          <w:rFonts w:ascii="Times New Roman" w:hAnsi="Times New Roman" w:cs="Times New Roman"/>
          <w:sz w:val="26"/>
          <w:szCs w:val="26"/>
        </w:rPr>
        <w:t>Постановлением</w:t>
      </w:r>
      <w:r w:rsidRPr="005869B1">
        <w:rPr>
          <w:rFonts w:ascii="Times New Roman" w:hAnsi="Times New Roman" w:cs="Times New Roman"/>
          <w:sz w:val="26"/>
          <w:szCs w:val="26"/>
        </w:rPr>
        <w:t xml:space="preserve"> Администрации города Ханты-Мансийска от </w:t>
      </w:r>
      <w:r w:rsidR="001E60C0" w:rsidRPr="005869B1">
        <w:rPr>
          <w:rFonts w:ascii="Times New Roman" w:hAnsi="Times New Roman" w:cs="Times New Roman"/>
          <w:sz w:val="26"/>
          <w:szCs w:val="26"/>
        </w:rPr>
        <w:t>27.02.2025</w:t>
      </w:r>
      <w:r w:rsidRPr="005869B1">
        <w:rPr>
          <w:rFonts w:ascii="Times New Roman" w:hAnsi="Times New Roman" w:cs="Times New Roman"/>
          <w:sz w:val="26"/>
          <w:szCs w:val="26"/>
        </w:rPr>
        <w:t xml:space="preserve"> №</w:t>
      </w:r>
      <w:r w:rsidR="001E60C0" w:rsidRPr="005869B1">
        <w:rPr>
          <w:rFonts w:ascii="Times New Roman" w:hAnsi="Times New Roman" w:cs="Times New Roman"/>
          <w:sz w:val="26"/>
          <w:szCs w:val="26"/>
        </w:rPr>
        <w:t>83</w:t>
      </w:r>
      <w:r w:rsidRPr="005869B1">
        <w:rPr>
          <w:rFonts w:ascii="Times New Roman" w:hAnsi="Times New Roman" w:cs="Times New Roman"/>
          <w:sz w:val="26"/>
          <w:szCs w:val="26"/>
        </w:rPr>
        <w:t xml:space="preserve"> «</w:t>
      </w:r>
      <w:r w:rsidR="001E60C0" w:rsidRPr="005869B1">
        <w:rPr>
          <w:rFonts w:ascii="Times New Roman" w:hAnsi="Times New Roman" w:cs="Times New Roman"/>
          <w:sz w:val="26"/>
          <w:szCs w:val="26"/>
        </w:rPr>
        <w:t>О мерах по обеспечению исполнения бюджета города Ханты-Мансийска</w:t>
      </w:r>
      <w:r w:rsidRPr="005869B1">
        <w:rPr>
          <w:rFonts w:ascii="Times New Roman" w:hAnsi="Times New Roman" w:cs="Times New Roman"/>
          <w:sz w:val="26"/>
          <w:szCs w:val="26"/>
        </w:rPr>
        <w:t>»</w:t>
      </w:r>
      <w:r w:rsidR="00D51510" w:rsidRPr="005869B1">
        <w:rPr>
          <w:rFonts w:ascii="Times New Roman" w:hAnsi="Times New Roman" w:cs="Times New Roman"/>
          <w:sz w:val="26"/>
          <w:szCs w:val="26"/>
        </w:rPr>
        <w:t xml:space="preserve"> (в ред. от 20.05.2025)</w:t>
      </w:r>
    </w:p>
    <w:tbl>
      <w:tblPr>
        <w:tblStyle w:val="a3"/>
        <w:tblW w:w="10803" w:type="dxa"/>
        <w:tblInd w:w="-176" w:type="dxa"/>
        <w:tblLook w:val="04A0" w:firstRow="1" w:lastRow="0" w:firstColumn="1" w:lastColumn="0" w:noHBand="0" w:noVBand="1"/>
      </w:tblPr>
      <w:tblGrid>
        <w:gridCol w:w="1447"/>
        <w:gridCol w:w="9356"/>
      </w:tblGrid>
      <w:tr w:rsidR="00447376" w:rsidTr="008D1D0E">
        <w:trPr>
          <w:trHeight w:val="463"/>
        </w:trPr>
        <w:tc>
          <w:tcPr>
            <w:tcW w:w="1447" w:type="dxa"/>
          </w:tcPr>
          <w:p w:rsidR="00447376" w:rsidRPr="00447376" w:rsidRDefault="001E60C0" w:rsidP="001E60C0">
            <w:pPr>
              <w:jc w:val="center"/>
              <w:rPr>
                <w:rFonts w:ascii="Times New Roman" w:hAnsi="Times New Roman" w:cs="Times New Roman"/>
                <w:b/>
                <w:sz w:val="24"/>
                <w:szCs w:val="24"/>
              </w:rPr>
            </w:pPr>
            <w:r>
              <w:rPr>
                <w:rFonts w:ascii="Times New Roman" w:hAnsi="Times New Roman" w:cs="Times New Roman"/>
                <w:b/>
                <w:sz w:val="24"/>
                <w:szCs w:val="24"/>
              </w:rPr>
              <w:t xml:space="preserve">Подпункт пункта 5.4. </w:t>
            </w:r>
            <w:r w:rsidR="00447376" w:rsidRPr="00447376">
              <w:rPr>
                <w:rFonts w:ascii="Times New Roman" w:hAnsi="Times New Roman" w:cs="Times New Roman"/>
                <w:b/>
                <w:sz w:val="24"/>
                <w:szCs w:val="24"/>
              </w:rPr>
              <w:t xml:space="preserve">раздела </w:t>
            </w:r>
            <w:r>
              <w:rPr>
                <w:rFonts w:ascii="Times New Roman" w:hAnsi="Times New Roman" w:cs="Times New Roman"/>
                <w:b/>
                <w:sz w:val="24"/>
                <w:szCs w:val="24"/>
              </w:rPr>
              <w:t>5</w:t>
            </w:r>
          </w:p>
        </w:tc>
        <w:tc>
          <w:tcPr>
            <w:tcW w:w="9356" w:type="dxa"/>
          </w:tcPr>
          <w:p w:rsidR="00447376" w:rsidRPr="00447376" w:rsidRDefault="00447376" w:rsidP="00447376">
            <w:pPr>
              <w:jc w:val="center"/>
              <w:rPr>
                <w:rFonts w:ascii="Times New Roman" w:hAnsi="Times New Roman" w:cs="Times New Roman"/>
                <w:b/>
                <w:sz w:val="24"/>
                <w:szCs w:val="24"/>
              </w:rPr>
            </w:pPr>
            <w:r w:rsidRPr="00447376">
              <w:rPr>
                <w:rFonts w:ascii="Times New Roman" w:hAnsi="Times New Roman" w:cs="Times New Roman"/>
                <w:b/>
                <w:sz w:val="24"/>
                <w:szCs w:val="24"/>
              </w:rPr>
              <w:t>Исключения</w:t>
            </w:r>
            <w:r>
              <w:rPr>
                <w:rFonts w:ascii="Times New Roman" w:hAnsi="Times New Roman" w:cs="Times New Roman"/>
                <w:b/>
                <w:sz w:val="24"/>
                <w:szCs w:val="24"/>
              </w:rPr>
              <w:t xml:space="preserve"> из СГОЗ</w:t>
            </w:r>
          </w:p>
        </w:tc>
      </w:tr>
      <w:tr w:rsidR="00D51510" w:rsidTr="008D1D0E">
        <w:trPr>
          <w:trHeight w:val="463"/>
        </w:trPr>
        <w:tc>
          <w:tcPr>
            <w:tcW w:w="1447" w:type="dxa"/>
          </w:tcPr>
          <w:p w:rsidR="00D51510" w:rsidRPr="00D51510" w:rsidRDefault="00D51510" w:rsidP="001E60C0">
            <w:pPr>
              <w:jc w:val="center"/>
              <w:rPr>
                <w:rFonts w:ascii="Times New Roman" w:hAnsi="Times New Roman" w:cs="Times New Roman"/>
                <w:sz w:val="24"/>
                <w:szCs w:val="24"/>
              </w:rPr>
            </w:pPr>
            <w:proofErr w:type="spellStart"/>
            <w:r>
              <w:rPr>
                <w:rFonts w:ascii="Times New Roman" w:hAnsi="Times New Roman" w:cs="Times New Roman"/>
                <w:sz w:val="24"/>
                <w:szCs w:val="24"/>
              </w:rPr>
              <w:t>а</w:t>
            </w:r>
            <w:r w:rsidRPr="00D51510">
              <w:rPr>
                <w:rFonts w:ascii="Times New Roman" w:hAnsi="Times New Roman" w:cs="Times New Roman"/>
                <w:sz w:val="24"/>
                <w:szCs w:val="24"/>
              </w:rPr>
              <w:t>бз</w:t>
            </w:r>
            <w:proofErr w:type="spellEnd"/>
            <w:r w:rsidRPr="00D51510">
              <w:rPr>
                <w:rFonts w:ascii="Times New Roman" w:hAnsi="Times New Roman" w:cs="Times New Roman"/>
                <w:sz w:val="24"/>
                <w:szCs w:val="24"/>
              </w:rPr>
              <w:t xml:space="preserve">. 2 </w:t>
            </w:r>
          </w:p>
        </w:tc>
        <w:tc>
          <w:tcPr>
            <w:tcW w:w="9356" w:type="dxa"/>
          </w:tcPr>
          <w:p w:rsidR="008D1D0E" w:rsidRDefault="00D51510" w:rsidP="008D1D0E">
            <w:pPr>
              <w:jc w:val="both"/>
              <w:rPr>
                <w:rFonts w:ascii="Times New Roman" w:eastAsia="Courier New" w:hAnsi="Times New Roman" w:cs="Times New Roman"/>
                <w:sz w:val="24"/>
                <w:szCs w:val="24"/>
              </w:rPr>
            </w:pPr>
            <w:r w:rsidRPr="00D51510">
              <w:rPr>
                <w:rFonts w:ascii="Times New Roman" w:eastAsia="Courier New" w:hAnsi="Times New Roman" w:cs="Times New Roman"/>
                <w:sz w:val="24"/>
                <w:szCs w:val="24"/>
              </w:rPr>
              <w:t>В случае доведения в текущем финансовом году дополнительных лимит</w:t>
            </w:r>
            <w:bookmarkStart w:id="0" w:name="_GoBack"/>
            <w:bookmarkEnd w:id="0"/>
            <w:r w:rsidRPr="00D51510">
              <w:rPr>
                <w:rFonts w:ascii="Times New Roman" w:eastAsia="Courier New" w:hAnsi="Times New Roman" w:cs="Times New Roman"/>
                <w:sz w:val="24"/>
                <w:szCs w:val="24"/>
              </w:rPr>
              <w:t>ов бюджетных обязательств на осуществление закупок получатели средств бюджета города обеспечивают принятие бюджетных обязательств, связанных с поставкой товаров, выполнением работ, оказанием услуг, не позднее 60 календарных дней после даты доведения дополнительных лимитов бюджетных обязательств</w:t>
            </w:r>
            <w:r w:rsidR="008D1D0E">
              <w:rPr>
                <w:rFonts w:ascii="Times New Roman" w:eastAsia="Courier New" w:hAnsi="Times New Roman" w:cs="Times New Roman"/>
                <w:sz w:val="24"/>
                <w:szCs w:val="24"/>
              </w:rPr>
              <w:t>*</w:t>
            </w:r>
            <w:r w:rsidRPr="00D51510">
              <w:rPr>
                <w:rFonts w:ascii="Times New Roman" w:eastAsia="Courier New" w:hAnsi="Times New Roman" w:cs="Times New Roman"/>
                <w:sz w:val="24"/>
                <w:szCs w:val="24"/>
              </w:rPr>
              <w:t>, а в случае доведения средств из вышестоящих бюджетов, после заключения соответствующего соглашения</w:t>
            </w:r>
            <w:r w:rsidR="008D1D0E">
              <w:rPr>
                <w:rFonts w:ascii="Times New Roman" w:eastAsia="Courier New" w:hAnsi="Times New Roman" w:cs="Times New Roman"/>
                <w:sz w:val="24"/>
                <w:szCs w:val="24"/>
              </w:rPr>
              <w:t>.</w:t>
            </w:r>
          </w:p>
          <w:p w:rsidR="00D51510" w:rsidRPr="005869B1" w:rsidRDefault="008D1D0E" w:rsidP="005869B1">
            <w:pPr>
              <w:rPr>
                <w:rFonts w:ascii="Calibri" w:eastAsia="Calibri" w:hAnsi="Calibri" w:cs="Calibri"/>
                <w:color w:val="1F497D"/>
              </w:rPr>
            </w:pPr>
            <w:r>
              <w:rPr>
                <w:rFonts w:ascii="Times New Roman" w:eastAsia="Courier New" w:hAnsi="Times New Roman" w:cs="Times New Roman"/>
                <w:sz w:val="24"/>
                <w:szCs w:val="24"/>
              </w:rPr>
              <w:t>(*</w:t>
            </w:r>
            <w:r w:rsidR="005869B1" w:rsidRPr="005869B1">
              <w:rPr>
                <w:rFonts w:ascii="Times New Roman" w:eastAsia="Calibri" w:hAnsi="Times New Roman" w:cs="Times New Roman"/>
                <w:i/>
              </w:rPr>
              <w:t>Доведенных решением Думы города Ханты-Мансийска о внесении изменений в бюджет города Ханты-Мансийска на текущий год и на плановый пери</w:t>
            </w:r>
            <w:r w:rsidR="005869B1" w:rsidRPr="005869B1">
              <w:rPr>
                <w:rFonts w:ascii="Times New Roman" w:eastAsia="Calibri" w:hAnsi="Times New Roman" w:cs="Times New Roman"/>
                <w:i/>
              </w:rPr>
              <w:t>о</w:t>
            </w:r>
            <w:r w:rsidR="005869B1" w:rsidRPr="005869B1">
              <w:rPr>
                <w:rFonts w:ascii="Times New Roman" w:eastAsia="Calibri" w:hAnsi="Times New Roman" w:cs="Times New Roman"/>
                <w:i/>
              </w:rPr>
              <w:t>д</w:t>
            </w:r>
            <w:r>
              <w:rPr>
                <w:rFonts w:ascii="Times New Roman" w:eastAsia="Courier New" w:hAnsi="Times New Roman" w:cs="Times New Roman"/>
                <w:i/>
                <w:sz w:val="24"/>
                <w:szCs w:val="24"/>
              </w:rPr>
              <w:t>)</w:t>
            </w:r>
          </w:p>
        </w:tc>
      </w:tr>
      <w:tr w:rsidR="00447376" w:rsidTr="008D1D0E">
        <w:trPr>
          <w:trHeight w:val="1800"/>
        </w:trPr>
        <w:tc>
          <w:tcPr>
            <w:tcW w:w="1447" w:type="dxa"/>
          </w:tcPr>
          <w:p w:rsidR="00447376" w:rsidRPr="00D51510" w:rsidRDefault="00447376" w:rsidP="00832ACC">
            <w:pPr>
              <w:autoSpaceDE w:val="0"/>
              <w:autoSpaceDN w:val="0"/>
              <w:adjustRightInd w:val="0"/>
              <w:ind w:firstLine="34"/>
              <w:jc w:val="center"/>
              <w:rPr>
                <w:rFonts w:ascii="Times New Roman" w:eastAsia="Courier New" w:hAnsi="Times New Roman" w:cs="Times New Roman"/>
                <w:sz w:val="24"/>
                <w:szCs w:val="24"/>
              </w:rPr>
            </w:pPr>
            <w:r w:rsidRPr="00D51510">
              <w:rPr>
                <w:rFonts w:ascii="Times New Roman" w:eastAsia="Courier New" w:hAnsi="Times New Roman" w:cs="Times New Roman"/>
                <w:sz w:val="24"/>
                <w:szCs w:val="24"/>
              </w:rPr>
              <w:t>а)</w:t>
            </w:r>
          </w:p>
          <w:p w:rsidR="00447376" w:rsidRPr="000D0D49" w:rsidRDefault="00447376" w:rsidP="00832ACC">
            <w:pPr>
              <w:autoSpaceDE w:val="0"/>
              <w:autoSpaceDN w:val="0"/>
              <w:adjustRightInd w:val="0"/>
              <w:ind w:firstLine="34"/>
              <w:jc w:val="center"/>
              <w:rPr>
                <w:rFonts w:ascii="Times New Roman" w:eastAsia="Courier New" w:hAnsi="Times New Roman" w:cs="Times New Roman"/>
                <w:strike/>
                <w:sz w:val="24"/>
                <w:szCs w:val="24"/>
              </w:rPr>
            </w:pPr>
          </w:p>
          <w:p w:rsidR="00447376" w:rsidRPr="000D0D49" w:rsidRDefault="00447376" w:rsidP="00832ACC">
            <w:pPr>
              <w:ind w:firstLine="34"/>
              <w:jc w:val="center"/>
              <w:rPr>
                <w:rFonts w:ascii="Times New Roman" w:hAnsi="Times New Roman" w:cs="Times New Roman"/>
                <w:strike/>
                <w:sz w:val="24"/>
                <w:szCs w:val="24"/>
              </w:rPr>
            </w:pPr>
          </w:p>
        </w:tc>
        <w:tc>
          <w:tcPr>
            <w:tcW w:w="9356" w:type="dxa"/>
          </w:tcPr>
          <w:p w:rsidR="00447376" w:rsidRPr="000D0D49" w:rsidRDefault="00D51510" w:rsidP="003E7353">
            <w:pPr>
              <w:jc w:val="both"/>
              <w:rPr>
                <w:rFonts w:ascii="Times New Roman" w:hAnsi="Times New Roman" w:cs="Times New Roman"/>
                <w:strike/>
                <w:sz w:val="24"/>
                <w:szCs w:val="24"/>
              </w:rPr>
            </w:pPr>
            <w:r w:rsidRPr="00DC5B33">
              <w:rPr>
                <w:rFonts w:ascii="Times New Roman" w:eastAsia="Courier New" w:hAnsi="Times New Roman" w:cs="Times New Roman"/>
                <w:color w:val="000000"/>
                <w:sz w:val="24"/>
                <w:szCs w:val="24"/>
              </w:rPr>
              <w:t>в случае если источником финансового обеспечения бюджетных обязательств являются средства</w:t>
            </w:r>
            <w:r>
              <w:rPr>
                <w:rFonts w:ascii="Times New Roman" w:eastAsia="Courier New" w:hAnsi="Times New Roman" w:cs="Times New Roman"/>
                <w:b/>
                <w:color w:val="000000"/>
                <w:sz w:val="24"/>
                <w:szCs w:val="24"/>
              </w:rPr>
              <w:t xml:space="preserve"> </w:t>
            </w:r>
            <w:r w:rsidRPr="00D51510">
              <w:rPr>
                <w:rFonts w:ascii="Times New Roman" w:eastAsia="Courier New" w:hAnsi="Times New Roman" w:cs="Times New Roman"/>
                <w:color w:val="000000"/>
                <w:sz w:val="24"/>
                <w:szCs w:val="24"/>
              </w:rPr>
              <w:t xml:space="preserve">резервного фонда Правительства </w:t>
            </w:r>
            <w:r w:rsidRPr="00D51510">
              <w:rPr>
                <w:rFonts w:ascii="Times New Roman" w:hAnsi="Times New Roman" w:cs="Times New Roman"/>
                <w:color w:val="000000"/>
                <w:sz w:val="24"/>
                <w:szCs w:val="24"/>
              </w:rPr>
              <w:t>Ханты-Мансийского автономного округа – Югры</w:t>
            </w:r>
            <w:r w:rsidRPr="00D51510">
              <w:rPr>
                <w:rFonts w:ascii="Times New Roman" w:eastAsia="Courier New" w:hAnsi="Times New Roman" w:cs="Times New Roman"/>
                <w:color w:val="000000"/>
                <w:sz w:val="24"/>
                <w:szCs w:val="24"/>
              </w:rPr>
              <w:t xml:space="preserve">, резервного фонда Администрации города Ханты-Мансийска дорожного фонда </w:t>
            </w:r>
            <w:r w:rsidRPr="00D51510">
              <w:rPr>
                <w:rFonts w:ascii="Times New Roman" w:hAnsi="Times New Roman" w:cs="Times New Roman"/>
                <w:color w:val="000000"/>
                <w:sz w:val="24"/>
                <w:szCs w:val="24"/>
              </w:rPr>
              <w:t>Ханты-Мансийского автономного округа – Югры</w:t>
            </w:r>
            <w:r w:rsidRPr="00DC5B33">
              <w:rPr>
                <w:rFonts w:ascii="Times New Roman" w:eastAsia="Courier New" w:hAnsi="Times New Roman" w:cs="Times New Roman"/>
                <w:color w:val="000000"/>
                <w:sz w:val="24"/>
                <w:szCs w:val="24"/>
              </w:rPr>
              <w:t xml:space="preserve"> </w:t>
            </w:r>
            <w:r w:rsidRPr="00DC5B33">
              <w:rPr>
                <w:rFonts w:ascii="Times New Roman" w:hAnsi="Times New Roman" w:cs="Times New Roman"/>
                <w:color w:val="000000"/>
                <w:sz w:val="24"/>
                <w:szCs w:val="24"/>
              </w:rPr>
              <w:t>(за исключением закупок по строительству, реконструкции и капитальному ремонту объектов капитального строительства (автомобильных дорог), оборудования, предусмотренного проектной документацией и необходимого для обеспечения эксплуатации такого объекта)</w:t>
            </w:r>
          </w:p>
        </w:tc>
      </w:tr>
      <w:tr w:rsidR="00B818BB" w:rsidTr="008D1D0E">
        <w:trPr>
          <w:trHeight w:val="846"/>
        </w:trPr>
        <w:tc>
          <w:tcPr>
            <w:tcW w:w="1447" w:type="dxa"/>
          </w:tcPr>
          <w:p w:rsidR="00B818BB" w:rsidRPr="00447376" w:rsidRDefault="00B818BB" w:rsidP="00832ACC">
            <w:pPr>
              <w:autoSpaceDE w:val="0"/>
              <w:autoSpaceDN w:val="0"/>
              <w:adjustRightInd w:val="0"/>
              <w:ind w:firstLine="34"/>
              <w:jc w:val="center"/>
              <w:rPr>
                <w:rFonts w:ascii="Times New Roman" w:eastAsia="Courier New" w:hAnsi="Times New Roman" w:cs="Times New Roman"/>
                <w:sz w:val="24"/>
                <w:szCs w:val="24"/>
              </w:rPr>
            </w:pPr>
            <w:r w:rsidRPr="00447376">
              <w:rPr>
                <w:rFonts w:ascii="Times New Roman" w:eastAsia="Courier New" w:hAnsi="Times New Roman" w:cs="Times New Roman"/>
                <w:sz w:val="24"/>
                <w:szCs w:val="24"/>
              </w:rPr>
              <w:t>б)</w:t>
            </w:r>
          </w:p>
          <w:p w:rsidR="00B818BB" w:rsidRPr="00447376"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Pr="00447376" w:rsidRDefault="00B818BB" w:rsidP="00832ACC">
            <w:pPr>
              <w:ind w:firstLine="34"/>
              <w:jc w:val="center"/>
              <w:rPr>
                <w:rFonts w:ascii="Times New Roman" w:eastAsia="Courier New" w:hAnsi="Times New Roman" w:cs="Times New Roman"/>
                <w:sz w:val="24"/>
                <w:szCs w:val="24"/>
              </w:rPr>
            </w:pPr>
          </w:p>
        </w:tc>
        <w:tc>
          <w:tcPr>
            <w:tcW w:w="9356" w:type="dxa"/>
          </w:tcPr>
          <w:p w:rsidR="00B818BB" w:rsidRPr="001E60C0" w:rsidRDefault="001E60C0" w:rsidP="00D51510">
            <w:pPr>
              <w:jc w:val="both"/>
              <w:rPr>
                <w:rFonts w:ascii="Times New Roman" w:eastAsia="Courier New" w:hAnsi="Times New Roman" w:cs="Times New Roman"/>
                <w:sz w:val="24"/>
                <w:szCs w:val="24"/>
              </w:rPr>
            </w:pPr>
            <w:r w:rsidRPr="001E60C0">
              <w:rPr>
                <w:rFonts w:ascii="Times New Roman" w:eastAsia="Courier New" w:hAnsi="Times New Roman" w:cs="Times New Roman"/>
                <w:sz w:val="24"/>
                <w:szCs w:val="24"/>
              </w:rPr>
              <w:t>в случаях, указанных в пунктах 1, 4, 5, 8, 15, 26, 29, 31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r w:rsidR="00B818BB" w:rsidTr="005869B1">
        <w:trPr>
          <w:trHeight w:val="281"/>
        </w:trPr>
        <w:tc>
          <w:tcPr>
            <w:tcW w:w="1447" w:type="dxa"/>
          </w:tcPr>
          <w:p w:rsidR="00B818BB" w:rsidRPr="00447376" w:rsidRDefault="00B818BB" w:rsidP="00832ACC">
            <w:pPr>
              <w:autoSpaceDE w:val="0"/>
              <w:autoSpaceDN w:val="0"/>
              <w:adjustRightInd w:val="0"/>
              <w:ind w:firstLine="34"/>
              <w:jc w:val="center"/>
              <w:rPr>
                <w:rFonts w:ascii="Times New Roman" w:eastAsia="Courier New" w:hAnsi="Times New Roman" w:cs="Times New Roman"/>
                <w:sz w:val="24"/>
                <w:szCs w:val="24"/>
              </w:rPr>
            </w:pPr>
            <w:r w:rsidRPr="00447376">
              <w:rPr>
                <w:rFonts w:ascii="Times New Roman" w:eastAsia="Courier New" w:hAnsi="Times New Roman" w:cs="Times New Roman"/>
                <w:sz w:val="24"/>
                <w:szCs w:val="24"/>
              </w:rPr>
              <w:t>в)</w:t>
            </w:r>
          </w:p>
        </w:tc>
        <w:tc>
          <w:tcPr>
            <w:tcW w:w="9356" w:type="dxa"/>
          </w:tcPr>
          <w:p w:rsidR="00B818BB" w:rsidRPr="001E60C0" w:rsidRDefault="001E60C0" w:rsidP="003E7353">
            <w:pPr>
              <w:jc w:val="both"/>
              <w:rPr>
                <w:rFonts w:ascii="Times New Roman" w:eastAsia="Courier New" w:hAnsi="Times New Roman" w:cs="Times New Roman"/>
                <w:sz w:val="24"/>
                <w:szCs w:val="24"/>
              </w:rPr>
            </w:pPr>
            <w:r w:rsidRPr="001E60C0">
              <w:rPr>
                <w:rFonts w:ascii="Times New Roman" w:eastAsia="Courier New" w:hAnsi="Times New Roman" w:cs="Times New Roman"/>
                <w:sz w:val="24"/>
                <w:szCs w:val="24"/>
              </w:rPr>
              <w:t>в случае осуществления закупок жилых помещений</w:t>
            </w:r>
          </w:p>
        </w:tc>
      </w:tr>
      <w:tr w:rsidR="00B818BB" w:rsidTr="008D1D0E">
        <w:trPr>
          <w:trHeight w:val="2301"/>
        </w:trPr>
        <w:tc>
          <w:tcPr>
            <w:tcW w:w="1447" w:type="dxa"/>
          </w:tcPr>
          <w:p w:rsidR="00B818BB" w:rsidRPr="00447376" w:rsidRDefault="00B818BB" w:rsidP="00832ACC">
            <w:pPr>
              <w:autoSpaceDE w:val="0"/>
              <w:autoSpaceDN w:val="0"/>
              <w:adjustRightInd w:val="0"/>
              <w:ind w:firstLine="34"/>
              <w:jc w:val="center"/>
              <w:rPr>
                <w:rFonts w:ascii="Times New Roman" w:eastAsia="Courier New" w:hAnsi="Times New Roman" w:cs="Times New Roman"/>
                <w:sz w:val="24"/>
                <w:szCs w:val="24"/>
              </w:rPr>
            </w:pPr>
            <w:r w:rsidRPr="00447376">
              <w:rPr>
                <w:rFonts w:ascii="Times New Roman" w:eastAsia="Courier New" w:hAnsi="Times New Roman" w:cs="Times New Roman"/>
                <w:sz w:val="24"/>
                <w:szCs w:val="24"/>
              </w:rPr>
              <w:t>г)</w:t>
            </w: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Pr="00447376" w:rsidRDefault="00B818BB" w:rsidP="00832ACC">
            <w:pPr>
              <w:ind w:firstLine="34"/>
              <w:jc w:val="center"/>
              <w:rPr>
                <w:rFonts w:ascii="Times New Roman" w:eastAsia="Courier New" w:hAnsi="Times New Roman" w:cs="Times New Roman"/>
                <w:sz w:val="24"/>
                <w:szCs w:val="24"/>
              </w:rPr>
            </w:pPr>
          </w:p>
        </w:tc>
        <w:tc>
          <w:tcPr>
            <w:tcW w:w="9356" w:type="dxa"/>
          </w:tcPr>
          <w:p w:rsidR="00B818BB" w:rsidRPr="001E60C0" w:rsidRDefault="001E60C0" w:rsidP="00832ACC">
            <w:pPr>
              <w:jc w:val="both"/>
              <w:rPr>
                <w:rFonts w:ascii="Times New Roman" w:eastAsia="Courier New" w:hAnsi="Times New Roman" w:cs="Times New Roman"/>
                <w:sz w:val="24"/>
                <w:szCs w:val="24"/>
              </w:rPr>
            </w:pPr>
            <w:r w:rsidRPr="001E60C0">
              <w:rPr>
                <w:rFonts w:ascii="Times New Roman" w:eastAsia="Courier New" w:hAnsi="Times New Roman" w:cs="Times New Roman"/>
                <w:sz w:val="24"/>
                <w:szCs w:val="24"/>
              </w:rPr>
              <w:t>в случае если бюджетные обязательства возникают из муниципальных контрактов (договоров), заключаемых в текущем финансовом году в связи с расторжением ранее заключенных муниципальных контрактов (договоров) по соглашению сторон, решению суда или одностороннему отказу стороны муниципального контракта (договора)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tc>
      </w:tr>
      <w:tr w:rsidR="00B818BB" w:rsidTr="008D1D0E">
        <w:trPr>
          <w:trHeight w:val="1982"/>
        </w:trPr>
        <w:tc>
          <w:tcPr>
            <w:tcW w:w="1447" w:type="dxa"/>
          </w:tcPr>
          <w:p w:rsidR="00B818BB" w:rsidRPr="00447376" w:rsidRDefault="00B818BB" w:rsidP="00832ACC">
            <w:pPr>
              <w:autoSpaceDE w:val="0"/>
              <w:autoSpaceDN w:val="0"/>
              <w:adjustRightInd w:val="0"/>
              <w:ind w:firstLine="34"/>
              <w:jc w:val="center"/>
              <w:rPr>
                <w:rFonts w:ascii="Times New Roman" w:eastAsia="Courier New" w:hAnsi="Times New Roman" w:cs="Times New Roman"/>
                <w:sz w:val="24"/>
                <w:szCs w:val="24"/>
              </w:rPr>
            </w:pPr>
            <w:r w:rsidRPr="00447376">
              <w:rPr>
                <w:rFonts w:ascii="Times New Roman" w:hAnsi="Times New Roman" w:cs="Times New Roman"/>
                <w:sz w:val="24"/>
                <w:szCs w:val="24"/>
              </w:rPr>
              <w:t>д)</w:t>
            </w: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sz w:val="24"/>
                <w:szCs w:val="24"/>
              </w:rPr>
            </w:pPr>
          </w:p>
          <w:p w:rsidR="00B818BB" w:rsidRPr="00447376" w:rsidRDefault="00B818BB" w:rsidP="00832ACC">
            <w:pPr>
              <w:ind w:firstLine="34"/>
              <w:jc w:val="center"/>
              <w:rPr>
                <w:rFonts w:ascii="Times New Roman" w:eastAsia="Courier New" w:hAnsi="Times New Roman" w:cs="Times New Roman"/>
                <w:sz w:val="24"/>
                <w:szCs w:val="24"/>
              </w:rPr>
            </w:pPr>
          </w:p>
        </w:tc>
        <w:tc>
          <w:tcPr>
            <w:tcW w:w="9356" w:type="dxa"/>
          </w:tcPr>
          <w:p w:rsidR="00B818BB" w:rsidRPr="001E60C0" w:rsidRDefault="001E60C0" w:rsidP="003E7353">
            <w:pPr>
              <w:jc w:val="both"/>
              <w:rPr>
                <w:rFonts w:ascii="Times New Roman" w:eastAsia="Courier New" w:hAnsi="Times New Roman" w:cs="Times New Roman"/>
                <w:sz w:val="24"/>
                <w:szCs w:val="24"/>
              </w:rPr>
            </w:pPr>
            <w:r w:rsidRPr="001E60C0">
              <w:rPr>
                <w:rFonts w:ascii="Times New Roman" w:eastAsia="Courier New" w:hAnsi="Times New Roman" w:cs="Times New Roman"/>
                <w:sz w:val="24"/>
                <w:szCs w:val="24"/>
              </w:rPr>
              <w:t>в размере, не превышающем 10 процентов общей суммы доведенных до получателя средств бюджета города лимитов бюджетных обязательств на осуществление закупок товаров, работ, услуг, не использованных по состоянию на дату, предусмотренную абзацем первым настоящего подпункта (</w:t>
            </w:r>
            <w:r w:rsidRPr="001E60C0">
              <w:rPr>
                <w:rFonts w:ascii="Times New Roman" w:hAnsi="Times New Roman" w:cs="Times New Roman"/>
                <w:sz w:val="24"/>
                <w:szCs w:val="24"/>
              </w:rPr>
              <w:t>за исключением закупок по строительству, реконструкции и капитальному ремонту объектов капитального строительства, оборудования, предусмотренного проектной документацией и необходимого для обеспечения эксплуатации такого объекта)</w:t>
            </w:r>
          </w:p>
        </w:tc>
      </w:tr>
      <w:tr w:rsidR="001E60C0" w:rsidTr="008D1D0E">
        <w:trPr>
          <w:trHeight w:val="928"/>
        </w:trPr>
        <w:tc>
          <w:tcPr>
            <w:tcW w:w="1447" w:type="dxa"/>
          </w:tcPr>
          <w:p w:rsidR="001E60C0" w:rsidRPr="00447376" w:rsidRDefault="001E60C0" w:rsidP="00832ACC">
            <w:pPr>
              <w:autoSpaceDE w:val="0"/>
              <w:autoSpaceDN w:val="0"/>
              <w:adjustRightInd w:val="0"/>
              <w:ind w:firstLine="34"/>
              <w:jc w:val="center"/>
              <w:rPr>
                <w:rFonts w:ascii="Times New Roman" w:hAnsi="Times New Roman" w:cs="Times New Roman"/>
                <w:sz w:val="24"/>
                <w:szCs w:val="24"/>
              </w:rPr>
            </w:pPr>
            <w:r>
              <w:rPr>
                <w:rFonts w:ascii="Times New Roman" w:hAnsi="Times New Roman" w:cs="Times New Roman"/>
                <w:sz w:val="24"/>
                <w:szCs w:val="24"/>
              </w:rPr>
              <w:t>е)</w:t>
            </w:r>
          </w:p>
        </w:tc>
        <w:tc>
          <w:tcPr>
            <w:tcW w:w="9356" w:type="dxa"/>
          </w:tcPr>
          <w:p w:rsidR="001E60C0" w:rsidRPr="001E60C0" w:rsidRDefault="001E60C0" w:rsidP="003E7353">
            <w:pPr>
              <w:jc w:val="both"/>
              <w:rPr>
                <w:rFonts w:ascii="Times New Roman" w:eastAsia="Courier New" w:hAnsi="Times New Roman" w:cs="Times New Roman"/>
                <w:sz w:val="24"/>
                <w:szCs w:val="24"/>
              </w:rPr>
            </w:pPr>
            <w:r w:rsidRPr="001E60C0">
              <w:rPr>
                <w:rFonts w:ascii="Times New Roman" w:eastAsia="Courier New" w:hAnsi="Times New Roman" w:cs="Times New Roman"/>
                <w:sz w:val="24"/>
                <w:szCs w:val="24"/>
              </w:rPr>
              <w:t>в целях обеспечения деятельности органов местного самоуправления города Ханты-Мансийска, органов Администрации города Ханты-Мансийска и их подведомственных казенных учреждений</w:t>
            </w:r>
          </w:p>
        </w:tc>
      </w:tr>
      <w:tr w:rsidR="00B818BB" w:rsidTr="008D1D0E">
        <w:trPr>
          <w:trHeight w:val="1691"/>
        </w:trPr>
        <w:tc>
          <w:tcPr>
            <w:tcW w:w="1447" w:type="dxa"/>
          </w:tcPr>
          <w:p w:rsidR="00B818BB" w:rsidRPr="00447376" w:rsidRDefault="00B818BB" w:rsidP="00832ACC">
            <w:pPr>
              <w:autoSpaceDE w:val="0"/>
              <w:autoSpaceDN w:val="0"/>
              <w:adjustRightInd w:val="0"/>
              <w:ind w:firstLine="34"/>
              <w:jc w:val="center"/>
              <w:rPr>
                <w:rFonts w:ascii="Times New Roman" w:eastAsia="Courier New" w:hAnsi="Times New Roman" w:cs="Times New Roman"/>
                <w:sz w:val="24"/>
                <w:szCs w:val="24"/>
              </w:rPr>
            </w:pPr>
            <w:r w:rsidRPr="00447376">
              <w:rPr>
                <w:rFonts w:ascii="Times New Roman" w:eastAsia="Courier New" w:hAnsi="Times New Roman" w:cs="Times New Roman"/>
                <w:sz w:val="24"/>
                <w:szCs w:val="24"/>
              </w:rPr>
              <w:t>ж)</w:t>
            </w:r>
          </w:p>
          <w:p w:rsidR="00B818BB" w:rsidRDefault="00B818BB" w:rsidP="00832ACC">
            <w:pPr>
              <w:autoSpaceDE w:val="0"/>
              <w:autoSpaceDN w:val="0"/>
              <w:adjustRightInd w:val="0"/>
              <w:ind w:firstLine="34"/>
              <w:jc w:val="center"/>
              <w:rPr>
                <w:rFonts w:ascii="Times New Roman" w:eastAsia="Courier New" w:hAnsi="Times New Roman" w:cs="Times New Roman"/>
                <w:color w:val="000000"/>
                <w:sz w:val="24"/>
                <w:szCs w:val="24"/>
              </w:rPr>
            </w:pPr>
          </w:p>
          <w:p w:rsidR="00B818BB" w:rsidRDefault="00B818BB" w:rsidP="00832ACC">
            <w:pPr>
              <w:autoSpaceDE w:val="0"/>
              <w:autoSpaceDN w:val="0"/>
              <w:adjustRightInd w:val="0"/>
              <w:ind w:firstLine="34"/>
              <w:jc w:val="center"/>
              <w:rPr>
                <w:rFonts w:ascii="Times New Roman" w:eastAsia="Courier New" w:hAnsi="Times New Roman" w:cs="Times New Roman"/>
                <w:color w:val="000000"/>
                <w:sz w:val="24"/>
                <w:szCs w:val="24"/>
              </w:rPr>
            </w:pPr>
          </w:p>
          <w:p w:rsidR="00B818BB" w:rsidRPr="00447376" w:rsidRDefault="00B818BB" w:rsidP="00832ACC">
            <w:pPr>
              <w:ind w:firstLine="34"/>
              <w:jc w:val="center"/>
              <w:rPr>
                <w:rFonts w:ascii="Times New Roman" w:hAnsi="Times New Roman" w:cs="Times New Roman"/>
                <w:sz w:val="24"/>
                <w:szCs w:val="24"/>
              </w:rPr>
            </w:pPr>
          </w:p>
        </w:tc>
        <w:tc>
          <w:tcPr>
            <w:tcW w:w="9356" w:type="dxa"/>
          </w:tcPr>
          <w:p w:rsidR="00B818BB" w:rsidRPr="001E60C0" w:rsidRDefault="001E60C0" w:rsidP="003E7353">
            <w:pPr>
              <w:jc w:val="both"/>
              <w:rPr>
                <w:rFonts w:ascii="Times New Roman" w:eastAsia="Courier New" w:hAnsi="Times New Roman" w:cs="Times New Roman"/>
                <w:sz w:val="24"/>
                <w:szCs w:val="24"/>
              </w:rPr>
            </w:pPr>
            <w:r w:rsidRPr="001E60C0">
              <w:rPr>
                <w:rFonts w:ascii="Times New Roman" w:hAnsi="Times New Roman" w:cs="Times New Roman"/>
                <w:sz w:val="24"/>
                <w:szCs w:val="24"/>
              </w:rPr>
              <w:t xml:space="preserve">в случае осуществления закупок на поставку товаров, выполнение работ, оказание услуг, связанных с участием в официальных физкультурных мероприятиях и спортивных мероприятиях, проведение которых в соответствии с правовыми актами Российской Федерации, Ханты-Мансийского автономного округа-Югры, города Ханты-Мансийска запланировано после даты, установленной </w:t>
            </w:r>
            <w:hyperlink r:id="rId6" w:history="1">
              <w:r w:rsidRPr="001E60C0">
                <w:rPr>
                  <w:rFonts w:ascii="Times New Roman" w:hAnsi="Times New Roman" w:cs="Times New Roman"/>
                  <w:sz w:val="24"/>
                  <w:szCs w:val="24"/>
                </w:rPr>
                <w:t>абзацем первым</w:t>
              </w:r>
            </w:hyperlink>
            <w:r w:rsidRPr="001E60C0">
              <w:rPr>
                <w:rFonts w:ascii="Times New Roman" w:hAnsi="Times New Roman" w:cs="Times New Roman"/>
                <w:sz w:val="24"/>
                <w:szCs w:val="24"/>
              </w:rPr>
              <w:t xml:space="preserve"> подпункта 5.4 настоящего пункта</w:t>
            </w:r>
            <w:r>
              <w:rPr>
                <w:rFonts w:ascii="Times New Roman" w:hAnsi="Times New Roman" w:cs="Times New Roman"/>
                <w:sz w:val="24"/>
                <w:szCs w:val="24"/>
              </w:rPr>
              <w:t xml:space="preserve"> (</w:t>
            </w:r>
            <w:r w:rsidRPr="001E60C0">
              <w:rPr>
                <w:rFonts w:ascii="Times New Roman" w:hAnsi="Times New Roman" w:cs="Times New Roman"/>
                <w:i/>
                <w:sz w:val="24"/>
                <w:szCs w:val="24"/>
                <w:u w:val="single"/>
              </w:rPr>
              <w:t>после 01.06.2025</w:t>
            </w:r>
            <w:r>
              <w:rPr>
                <w:rFonts w:ascii="Times New Roman" w:hAnsi="Times New Roman" w:cs="Times New Roman"/>
                <w:sz w:val="24"/>
                <w:szCs w:val="24"/>
              </w:rPr>
              <w:t>)</w:t>
            </w:r>
          </w:p>
        </w:tc>
      </w:tr>
      <w:tr w:rsidR="00B818BB" w:rsidTr="005869B1">
        <w:trPr>
          <w:trHeight w:val="566"/>
        </w:trPr>
        <w:tc>
          <w:tcPr>
            <w:tcW w:w="1447" w:type="dxa"/>
          </w:tcPr>
          <w:p w:rsidR="00B818BB" w:rsidRPr="00447376" w:rsidRDefault="00B818BB" w:rsidP="00832ACC">
            <w:pPr>
              <w:autoSpaceDE w:val="0"/>
              <w:autoSpaceDN w:val="0"/>
              <w:adjustRightInd w:val="0"/>
              <w:ind w:firstLine="34"/>
              <w:jc w:val="center"/>
              <w:rPr>
                <w:rFonts w:ascii="Times New Roman" w:eastAsia="Courier New" w:hAnsi="Times New Roman" w:cs="Times New Roman"/>
                <w:color w:val="000000"/>
                <w:sz w:val="24"/>
                <w:szCs w:val="24"/>
              </w:rPr>
            </w:pPr>
            <w:r w:rsidRPr="00447376">
              <w:rPr>
                <w:rFonts w:ascii="Times New Roman" w:eastAsia="Courier New" w:hAnsi="Times New Roman" w:cs="Times New Roman"/>
                <w:color w:val="000000"/>
                <w:sz w:val="24"/>
                <w:szCs w:val="24"/>
              </w:rPr>
              <w:t>з)</w:t>
            </w:r>
          </w:p>
          <w:p w:rsidR="00B818BB" w:rsidRPr="00447376" w:rsidRDefault="00B818BB" w:rsidP="00832ACC">
            <w:pPr>
              <w:ind w:firstLine="34"/>
              <w:jc w:val="center"/>
              <w:rPr>
                <w:rFonts w:ascii="Times New Roman" w:eastAsia="Courier New" w:hAnsi="Times New Roman" w:cs="Times New Roman"/>
                <w:sz w:val="24"/>
                <w:szCs w:val="24"/>
              </w:rPr>
            </w:pPr>
          </w:p>
        </w:tc>
        <w:tc>
          <w:tcPr>
            <w:tcW w:w="9356" w:type="dxa"/>
          </w:tcPr>
          <w:p w:rsidR="00B818BB" w:rsidRPr="001E60C0" w:rsidRDefault="001E60C0" w:rsidP="003E7353">
            <w:pPr>
              <w:jc w:val="both"/>
              <w:rPr>
                <w:rFonts w:ascii="Times New Roman" w:eastAsia="Courier New" w:hAnsi="Times New Roman" w:cs="Times New Roman"/>
                <w:sz w:val="24"/>
                <w:szCs w:val="24"/>
              </w:rPr>
            </w:pPr>
            <w:r w:rsidRPr="001E60C0">
              <w:rPr>
                <w:rFonts w:ascii="Times New Roman" w:eastAsia="Courier New" w:hAnsi="Times New Roman" w:cs="Times New Roman"/>
                <w:sz w:val="24"/>
                <w:szCs w:val="24"/>
              </w:rPr>
              <w:t>в случае если источником финансового обеспечения бюджетных обязательств являются средства от предпринимательской и иной приносящей доход деятельности</w:t>
            </w:r>
          </w:p>
        </w:tc>
      </w:tr>
    </w:tbl>
    <w:p w:rsidR="003E7353" w:rsidRPr="00B818BB" w:rsidRDefault="003E7353" w:rsidP="003E7353">
      <w:pPr>
        <w:spacing w:line="240" w:lineRule="auto"/>
        <w:jc w:val="both"/>
        <w:rPr>
          <w:sz w:val="16"/>
          <w:szCs w:val="16"/>
        </w:rPr>
      </w:pPr>
    </w:p>
    <w:sectPr w:rsidR="003E7353" w:rsidRPr="00B818BB" w:rsidSect="008D1D0E">
      <w:pgSz w:w="11906" w:h="16838"/>
      <w:pgMar w:top="426"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7F48"/>
    <w:multiLevelType w:val="hybridMultilevel"/>
    <w:tmpl w:val="65DE4E9C"/>
    <w:lvl w:ilvl="0" w:tplc="F04AD7C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420BE1"/>
    <w:multiLevelType w:val="hybridMultilevel"/>
    <w:tmpl w:val="28D85834"/>
    <w:lvl w:ilvl="0" w:tplc="4F18A7AE">
      <w:start w:val="1"/>
      <w:numFmt w:val="decimal"/>
      <w:lvlText w:val="%1."/>
      <w:lvlJc w:val="left"/>
      <w:pPr>
        <w:ind w:left="720" w:hanging="360"/>
      </w:pPr>
      <w:rPr>
        <w:rFonts w:ascii="Times New Roman" w:eastAsia="Courier New" w:hAnsi="Times New Roman" w:cs="Times New Roman" w:hint="default"/>
        <w:sz w:val="44"/>
        <w:szCs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251DD3"/>
    <w:multiLevelType w:val="hybridMultilevel"/>
    <w:tmpl w:val="26A0419E"/>
    <w:lvl w:ilvl="0" w:tplc="EBB2C416">
      <w:start w:val="1"/>
      <w:numFmt w:val="decimal"/>
      <w:lvlText w:val="%1."/>
      <w:lvlJc w:val="left"/>
      <w:pPr>
        <w:ind w:left="720" w:hanging="36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97"/>
    <w:rsid w:val="000B6C0E"/>
    <w:rsid w:val="000D0D49"/>
    <w:rsid w:val="000D2C63"/>
    <w:rsid w:val="001E60C0"/>
    <w:rsid w:val="00236A46"/>
    <w:rsid w:val="003E7353"/>
    <w:rsid w:val="00447376"/>
    <w:rsid w:val="00492693"/>
    <w:rsid w:val="005869B1"/>
    <w:rsid w:val="00622F47"/>
    <w:rsid w:val="006F0DE3"/>
    <w:rsid w:val="00832ACC"/>
    <w:rsid w:val="008D1D0E"/>
    <w:rsid w:val="00B818BB"/>
    <w:rsid w:val="00B93891"/>
    <w:rsid w:val="00D51510"/>
    <w:rsid w:val="00E8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926&amp;n=312388&amp;dst=1000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Натепрова Марина Владимировна</dc:creator>
  <cp:lastModifiedBy>Натепрова Марина Владимировна</cp:lastModifiedBy>
  <cp:revision>4</cp:revision>
  <cp:lastPrinted>2024-02-14T07:01:00Z</cp:lastPrinted>
  <dcterms:created xsi:type="dcterms:W3CDTF">2025-05-20T12:59:00Z</dcterms:created>
  <dcterms:modified xsi:type="dcterms:W3CDTF">2025-05-21T04:09:00Z</dcterms:modified>
</cp:coreProperties>
</file>