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CE4" w:rsidRPr="009C2CE4" w:rsidRDefault="009C2CE4" w:rsidP="009C2CE4">
      <w:pPr>
        <w:pStyle w:val="7"/>
        <w:jc w:val="right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>Проект</w:t>
      </w:r>
    </w:p>
    <w:p w:rsidR="009C2CE4" w:rsidRPr="009C2CE4" w:rsidRDefault="009C2CE4" w:rsidP="009C2CE4">
      <w:pPr>
        <w:pStyle w:val="7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 xml:space="preserve">Муниципальное образование </w:t>
      </w:r>
    </w:p>
    <w:p w:rsidR="009C2CE4" w:rsidRPr="009C2CE4" w:rsidRDefault="009C2CE4" w:rsidP="009C2CE4">
      <w:pPr>
        <w:pStyle w:val="7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>Ханты-Мансийского автономного округа – Югры</w:t>
      </w:r>
    </w:p>
    <w:p w:rsidR="009C2CE4" w:rsidRPr="009C2CE4" w:rsidRDefault="009C2CE4" w:rsidP="009C2CE4">
      <w:pPr>
        <w:pStyle w:val="7"/>
        <w:rPr>
          <w:b/>
          <w:bCs/>
          <w:sz w:val="28"/>
          <w:szCs w:val="28"/>
        </w:rPr>
      </w:pPr>
      <w:r w:rsidRPr="009C2CE4">
        <w:rPr>
          <w:b/>
          <w:bCs/>
          <w:sz w:val="28"/>
          <w:szCs w:val="28"/>
        </w:rPr>
        <w:t>городской округ город  Ханты-Мансийск</w:t>
      </w:r>
    </w:p>
    <w:p w:rsidR="009C2CE4" w:rsidRPr="009C2CE4" w:rsidRDefault="009C2CE4" w:rsidP="009C2CE4">
      <w:pPr>
        <w:jc w:val="center"/>
        <w:rPr>
          <w:b/>
          <w:sz w:val="28"/>
          <w:szCs w:val="28"/>
        </w:rPr>
      </w:pPr>
    </w:p>
    <w:p w:rsidR="009C2CE4" w:rsidRPr="009C2CE4" w:rsidRDefault="009C2CE4" w:rsidP="009C2CE4">
      <w:pPr>
        <w:pStyle w:val="3"/>
        <w:rPr>
          <w:sz w:val="28"/>
          <w:szCs w:val="28"/>
        </w:rPr>
      </w:pPr>
      <w:r w:rsidRPr="009C2CE4">
        <w:rPr>
          <w:sz w:val="28"/>
          <w:szCs w:val="28"/>
        </w:rPr>
        <w:t xml:space="preserve">Д У М А  Г О </w:t>
      </w:r>
      <w:proofErr w:type="gramStart"/>
      <w:r w:rsidRPr="009C2CE4">
        <w:rPr>
          <w:sz w:val="28"/>
          <w:szCs w:val="28"/>
        </w:rPr>
        <w:t>Р</w:t>
      </w:r>
      <w:proofErr w:type="gramEnd"/>
      <w:r w:rsidRPr="009C2CE4">
        <w:rPr>
          <w:sz w:val="28"/>
          <w:szCs w:val="28"/>
        </w:rPr>
        <w:t xml:space="preserve"> О Д А</w:t>
      </w:r>
    </w:p>
    <w:p w:rsidR="009C2CE4" w:rsidRPr="009C2CE4" w:rsidRDefault="009C2CE4" w:rsidP="009C2CE4">
      <w:pPr>
        <w:rPr>
          <w:sz w:val="28"/>
          <w:szCs w:val="28"/>
        </w:rPr>
      </w:pPr>
    </w:p>
    <w:p w:rsidR="009C2CE4" w:rsidRPr="009C2CE4" w:rsidRDefault="009C2CE4" w:rsidP="009C2CE4">
      <w:pPr>
        <w:rPr>
          <w:sz w:val="28"/>
          <w:szCs w:val="28"/>
        </w:rPr>
      </w:pPr>
      <w:r w:rsidRPr="009C2CE4">
        <w:rPr>
          <w:sz w:val="28"/>
          <w:szCs w:val="28"/>
        </w:rPr>
        <w:t xml:space="preserve">ул. Дзержинского,6, </w:t>
      </w:r>
      <w:proofErr w:type="spellStart"/>
      <w:r w:rsidRPr="009C2CE4">
        <w:rPr>
          <w:sz w:val="28"/>
          <w:szCs w:val="28"/>
        </w:rPr>
        <w:t>каб</w:t>
      </w:r>
      <w:proofErr w:type="spellEnd"/>
      <w:r w:rsidRPr="009C2CE4">
        <w:rPr>
          <w:sz w:val="28"/>
          <w:szCs w:val="28"/>
        </w:rPr>
        <w:t>. 412</w:t>
      </w:r>
    </w:p>
    <w:p w:rsidR="009C2CE4" w:rsidRPr="009C2CE4" w:rsidRDefault="009C2CE4" w:rsidP="009C2CE4">
      <w:pPr>
        <w:rPr>
          <w:sz w:val="28"/>
          <w:szCs w:val="28"/>
        </w:rPr>
      </w:pPr>
      <w:r w:rsidRPr="009C2CE4">
        <w:rPr>
          <w:sz w:val="28"/>
          <w:szCs w:val="28"/>
        </w:rPr>
        <w:t>тел. 352-458, т/ф 352-459</w:t>
      </w:r>
    </w:p>
    <w:p w:rsidR="009C2CE4" w:rsidRPr="009C2CE4" w:rsidRDefault="009C2CE4" w:rsidP="009C2CE4">
      <w:pPr>
        <w:rPr>
          <w:i/>
          <w:sz w:val="28"/>
          <w:szCs w:val="28"/>
        </w:rPr>
      </w:pPr>
      <w:r w:rsidRPr="009C2CE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230A96" wp14:editId="2D5A2098">
                <wp:simplePos x="0" y="0"/>
                <wp:positionH relativeFrom="column">
                  <wp:posOffset>-146050</wp:posOffset>
                </wp:positionH>
                <wp:positionV relativeFrom="paragraph">
                  <wp:posOffset>100330</wp:posOffset>
                </wp:positionV>
                <wp:extent cx="6743700" cy="0"/>
                <wp:effectExtent l="0" t="19050" r="1905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7.9pt" to="519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" strokeweight="4.5pt">
                <v:stroke linestyle="thickThin"/>
              </v:line>
            </w:pict>
          </mc:Fallback>
        </mc:AlternateContent>
      </w:r>
      <w:r w:rsidRPr="009C2CE4">
        <w:rPr>
          <w:i/>
          <w:sz w:val="28"/>
          <w:szCs w:val="28"/>
        </w:rPr>
        <w:t xml:space="preserve"> </w:t>
      </w:r>
    </w:p>
    <w:p w:rsidR="009C2CE4" w:rsidRPr="009C2CE4" w:rsidRDefault="009C2CE4" w:rsidP="009C2CE4">
      <w:pPr>
        <w:pStyle w:val="a3"/>
        <w:rPr>
          <w:b/>
          <w:color w:val="000000"/>
          <w:szCs w:val="28"/>
        </w:rPr>
      </w:pPr>
      <w:r w:rsidRPr="009C2CE4">
        <w:rPr>
          <w:b/>
          <w:color w:val="000000"/>
          <w:szCs w:val="28"/>
        </w:rPr>
        <w:t xml:space="preserve">ПОВЕСТКА </w:t>
      </w:r>
    </w:p>
    <w:p w:rsidR="009C2CE4" w:rsidRPr="009C2CE4" w:rsidRDefault="009C2CE4" w:rsidP="009C2CE4">
      <w:pPr>
        <w:pStyle w:val="a3"/>
        <w:rPr>
          <w:b/>
          <w:color w:val="000000"/>
          <w:szCs w:val="28"/>
        </w:rPr>
      </w:pPr>
      <w:r w:rsidRPr="009C2CE4">
        <w:rPr>
          <w:b/>
          <w:color w:val="000000"/>
          <w:szCs w:val="28"/>
        </w:rPr>
        <w:t xml:space="preserve"> ДНЯ ЗАСЕДАНИЯ  </w:t>
      </w:r>
    </w:p>
    <w:p w:rsidR="009C2CE4" w:rsidRPr="009C2CE4" w:rsidRDefault="009C2CE4" w:rsidP="009C2CE4">
      <w:pPr>
        <w:pStyle w:val="a3"/>
        <w:rPr>
          <w:b/>
          <w:color w:val="000000"/>
          <w:szCs w:val="28"/>
        </w:rPr>
      </w:pPr>
      <w:r w:rsidRPr="009C2CE4">
        <w:rPr>
          <w:b/>
          <w:color w:val="000000"/>
          <w:szCs w:val="28"/>
        </w:rPr>
        <w:t>КОМИТЕТА ПО БЮДЖЕТУ</w:t>
      </w:r>
    </w:p>
    <w:p w:rsidR="009C2CE4" w:rsidRPr="009C2CE4" w:rsidRDefault="009C2CE4" w:rsidP="009C2CE4">
      <w:pPr>
        <w:rPr>
          <w:b/>
          <w:iCs/>
          <w:color w:val="000000"/>
          <w:sz w:val="28"/>
          <w:szCs w:val="28"/>
        </w:rPr>
      </w:pPr>
      <w:r w:rsidRPr="009C2CE4">
        <w:rPr>
          <w:b/>
          <w:iCs/>
          <w:color w:val="000000"/>
          <w:sz w:val="28"/>
          <w:szCs w:val="28"/>
        </w:rPr>
        <w:t xml:space="preserve">           </w:t>
      </w:r>
    </w:p>
    <w:p w:rsidR="009C2CE4" w:rsidRPr="009C2CE4" w:rsidRDefault="009C2CE4" w:rsidP="009C2CE4">
      <w:pPr>
        <w:rPr>
          <w:b/>
          <w:iCs/>
          <w:color w:val="000000"/>
          <w:sz w:val="28"/>
          <w:szCs w:val="28"/>
        </w:rPr>
      </w:pPr>
    </w:p>
    <w:p w:rsidR="009C2CE4" w:rsidRPr="009C2CE4" w:rsidRDefault="009C2CE4" w:rsidP="009C2CE4">
      <w:pPr>
        <w:rPr>
          <w:b/>
          <w:iCs/>
          <w:color w:val="000000"/>
          <w:sz w:val="28"/>
          <w:szCs w:val="28"/>
        </w:rPr>
      </w:pPr>
      <w:r w:rsidRPr="009C2CE4">
        <w:rPr>
          <w:b/>
          <w:iCs/>
          <w:color w:val="000000"/>
          <w:sz w:val="28"/>
          <w:szCs w:val="28"/>
        </w:rPr>
        <w:t xml:space="preserve">     20 июня 2012 года </w:t>
      </w:r>
      <w:r w:rsidRPr="009C2CE4">
        <w:rPr>
          <w:iCs/>
          <w:color w:val="000000"/>
          <w:sz w:val="28"/>
          <w:szCs w:val="28"/>
        </w:rPr>
        <w:t xml:space="preserve">                 </w:t>
      </w:r>
      <w:r>
        <w:rPr>
          <w:iCs/>
          <w:color w:val="000000"/>
          <w:sz w:val="28"/>
          <w:szCs w:val="28"/>
        </w:rPr>
        <w:t xml:space="preserve">                  </w:t>
      </w:r>
      <w:r w:rsidRPr="009C2CE4">
        <w:rPr>
          <w:iCs/>
          <w:color w:val="000000"/>
          <w:sz w:val="28"/>
          <w:szCs w:val="28"/>
        </w:rPr>
        <w:t xml:space="preserve">                                                      </w:t>
      </w:r>
      <w:r w:rsidRPr="009C2CE4">
        <w:rPr>
          <w:b/>
          <w:iCs/>
          <w:color w:val="000000"/>
          <w:sz w:val="28"/>
          <w:szCs w:val="28"/>
        </w:rPr>
        <w:t>№10</w:t>
      </w:r>
    </w:p>
    <w:p w:rsidR="009C2CE4" w:rsidRDefault="009C2CE4" w:rsidP="009C2CE4">
      <w:pPr>
        <w:rPr>
          <w:b/>
          <w:iCs/>
          <w:color w:val="000000"/>
          <w:sz w:val="28"/>
          <w:szCs w:val="28"/>
        </w:rPr>
      </w:pPr>
    </w:p>
    <w:p w:rsidR="009C2CE4" w:rsidRPr="009C2CE4" w:rsidRDefault="009C2CE4" w:rsidP="009C2CE4">
      <w:pPr>
        <w:rPr>
          <w:b/>
          <w:iCs/>
          <w:color w:val="000000"/>
          <w:sz w:val="28"/>
          <w:szCs w:val="28"/>
        </w:rPr>
      </w:pPr>
    </w:p>
    <w:tbl>
      <w:tblPr>
        <w:tblW w:w="1020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6"/>
        <w:gridCol w:w="602"/>
        <w:gridCol w:w="284"/>
        <w:gridCol w:w="2409"/>
        <w:gridCol w:w="6089"/>
      </w:tblGrid>
      <w:tr w:rsidR="009C2CE4" w:rsidRPr="009C2CE4" w:rsidTr="009C2CE4">
        <w:trPr>
          <w:trHeight w:val="567"/>
        </w:trPr>
        <w:tc>
          <w:tcPr>
            <w:tcW w:w="816" w:type="dxa"/>
            <w:hideMark/>
          </w:tcPr>
          <w:p w:rsidR="009C2CE4" w:rsidRPr="009C2CE4" w:rsidRDefault="009C2CE4">
            <w:pPr>
              <w:spacing w:line="276" w:lineRule="auto"/>
              <w:jc w:val="both"/>
              <w:rPr>
                <w:b/>
                <w:bCs/>
                <w:sz w:val="28"/>
                <w:szCs w:val="28"/>
                <w:vertAlign w:val="superscript"/>
                <w:lang w:eastAsia="en-US"/>
              </w:rPr>
            </w:pPr>
            <w:r w:rsidRPr="009C2CE4">
              <w:rPr>
                <w:b/>
                <w:bCs/>
                <w:sz w:val="28"/>
                <w:szCs w:val="28"/>
                <w:lang w:eastAsia="en-US"/>
              </w:rPr>
              <w:t xml:space="preserve">14 </w:t>
            </w:r>
            <w:r w:rsidRPr="009C2CE4">
              <w:rPr>
                <w:b/>
                <w:bCs/>
                <w:sz w:val="28"/>
                <w:szCs w:val="28"/>
                <w:vertAlign w:val="superscript"/>
                <w:lang w:eastAsia="en-US"/>
              </w:rPr>
              <w:t>15</w:t>
            </w:r>
          </w:p>
        </w:tc>
        <w:tc>
          <w:tcPr>
            <w:tcW w:w="602" w:type="dxa"/>
            <w:hideMark/>
          </w:tcPr>
          <w:p w:rsidR="009C2CE4" w:rsidRPr="009C2CE4" w:rsidRDefault="009C2CE4">
            <w:pPr>
              <w:pStyle w:val="a4"/>
              <w:spacing w:line="276" w:lineRule="auto"/>
              <w:rPr>
                <w:b/>
                <w:bCs/>
                <w:szCs w:val="28"/>
                <w:lang w:eastAsia="en-US"/>
              </w:rPr>
            </w:pPr>
            <w:r w:rsidRPr="009C2CE4">
              <w:rPr>
                <w:b/>
                <w:bCs/>
                <w:szCs w:val="28"/>
                <w:lang w:eastAsia="en-US"/>
              </w:rPr>
              <w:t>1.</w:t>
            </w:r>
          </w:p>
        </w:tc>
        <w:tc>
          <w:tcPr>
            <w:tcW w:w="8782" w:type="dxa"/>
            <w:gridSpan w:val="3"/>
            <w:hideMark/>
          </w:tcPr>
          <w:p w:rsidR="009C2CE4" w:rsidRPr="009C2CE4" w:rsidRDefault="009C2CE4">
            <w:pPr>
              <w:pStyle w:val="a4"/>
              <w:spacing w:line="276" w:lineRule="auto"/>
              <w:rPr>
                <w:b/>
                <w:iCs/>
                <w:szCs w:val="28"/>
                <w:lang w:eastAsia="en-US"/>
              </w:rPr>
            </w:pPr>
            <w:r w:rsidRPr="009C2CE4">
              <w:rPr>
                <w:b/>
                <w:iCs/>
                <w:szCs w:val="28"/>
                <w:lang w:eastAsia="en-US"/>
              </w:rPr>
              <w:t>О деятельности комитета за первое полугодие 2012 года.</w:t>
            </w:r>
          </w:p>
        </w:tc>
      </w:tr>
      <w:tr w:rsidR="009C2CE4" w:rsidRPr="009C2CE4" w:rsidTr="009C2CE4">
        <w:trPr>
          <w:trHeight w:val="869"/>
        </w:trPr>
        <w:tc>
          <w:tcPr>
            <w:tcW w:w="1702" w:type="dxa"/>
            <w:gridSpan w:val="3"/>
          </w:tcPr>
          <w:p w:rsidR="009C2CE4" w:rsidRPr="009C2CE4" w:rsidRDefault="009C2CE4">
            <w:pPr>
              <w:pStyle w:val="a4"/>
              <w:spacing w:line="276" w:lineRule="auto"/>
              <w:jc w:val="left"/>
              <w:rPr>
                <w:b/>
                <w:bCs/>
                <w:szCs w:val="28"/>
                <w:vertAlign w:val="superscript"/>
                <w:lang w:eastAsia="en-US"/>
              </w:rPr>
            </w:pPr>
          </w:p>
        </w:tc>
        <w:tc>
          <w:tcPr>
            <w:tcW w:w="2409" w:type="dxa"/>
          </w:tcPr>
          <w:p w:rsidR="009C2CE4" w:rsidRPr="009C2CE4" w:rsidRDefault="009C2CE4">
            <w:pPr>
              <w:pStyle w:val="a4"/>
              <w:spacing w:line="276" w:lineRule="auto"/>
              <w:jc w:val="left"/>
              <w:rPr>
                <w:b/>
                <w:bCs/>
                <w:szCs w:val="28"/>
                <w:lang w:eastAsia="en-US"/>
              </w:rPr>
            </w:pPr>
            <w:r w:rsidRPr="009C2CE4">
              <w:rPr>
                <w:b/>
                <w:bCs/>
                <w:szCs w:val="28"/>
                <w:lang w:eastAsia="en-US"/>
              </w:rPr>
              <w:t>Докладывают:</w:t>
            </w:r>
          </w:p>
        </w:tc>
        <w:tc>
          <w:tcPr>
            <w:tcW w:w="6089" w:type="dxa"/>
            <w:hideMark/>
          </w:tcPr>
          <w:p w:rsidR="009C2CE4" w:rsidRPr="009C2CE4" w:rsidRDefault="009C2CE4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C2CE4">
              <w:rPr>
                <w:b/>
                <w:sz w:val="28"/>
                <w:szCs w:val="28"/>
                <w:lang w:eastAsia="en-US"/>
              </w:rPr>
              <w:t>Члены комитета по бюджету</w:t>
            </w:r>
          </w:p>
        </w:tc>
      </w:tr>
    </w:tbl>
    <w:p w:rsidR="009C2CE4" w:rsidRDefault="009C2CE4" w:rsidP="009C2CE4">
      <w:pPr>
        <w:rPr>
          <w:bCs/>
          <w:color w:val="000000"/>
          <w:sz w:val="28"/>
          <w:szCs w:val="28"/>
        </w:rPr>
      </w:pPr>
      <w:bookmarkStart w:id="0" w:name="_GoBack"/>
      <w:bookmarkEnd w:id="0"/>
    </w:p>
    <w:tbl>
      <w:tblPr>
        <w:tblW w:w="102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28"/>
        <w:gridCol w:w="590"/>
        <w:gridCol w:w="8797"/>
      </w:tblGrid>
      <w:tr w:rsidR="009C2CE4" w:rsidRPr="009C2CE4" w:rsidTr="00FB6023">
        <w:trPr>
          <w:trHeight w:val="457"/>
        </w:trPr>
        <w:tc>
          <w:tcPr>
            <w:tcW w:w="828" w:type="dxa"/>
          </w:tcPr>
          <w:p w:rsidR="009C2CE4" w:rsidRPr="009C2CE4" w:rsidRDefault="009C2CE4" w:rsidP="00FB6023">
            <w:pPr>
              <w:spacing w:line="276" w:lineRule="auto"/>
              <w:rPr>
                <w:b/>
                <w:bCs/>
                <w:sz w:val="28"/>
                <w:szCs w:val="28"/>
                <w:vertAlign w:val="superscript"/>
                <w:lang w:eastAsia="en-US"/>
              </w:rPr>
            </w:pPr>
          </w:p>
        </w:tc>
        <w:tc>
          <w:tcPr>
            <w:tcW w:w="590" w:type="dxa"/>
            <w:hideMark/>
          </w:tcPr>
          <w:p w:rsidR="009C2CE4" w:rsidRPr="009C2CE4" w:rsidRDefault="009C2CE4" w:rsidP="00FB6023">
            <w:pPr>
              <w:pStyle w:val="a4"/>
              <w:spacing w:line="276" w:lineRule="auto"/>
              <w:jc w:val="left"/>
              <w:rPr>
                <w:b/>
                <w:bCs/>
                <w:szCs w:val="28"/>
                <w:lang w:eastAsia="en-US"/>
              </w:rPr>
            </w:pPr>
            <w:r>
              <w:rPr>
                <w:b/>
                <w:bCs/>
                <w:szCs w:val="28"/>
                <w:lang w:eastAsia="en-US"/>
              </w:rPr>
              <w:t>2</w:t>
            </w:r>
            <w:r w:rsidRPr="009C2CE4">
              <w:rPr>
                <w:b/>
                <w:bCs/>
                <w:szCs w:val="28"/>
                <w:lang w:eastAsia="en-US"/>
              </w:rPr>
              <w:t>.</w:t>
            </w:r>
          </w:p>
        </w:tc>
        <w:tc>
          <w:tcPr>
            <w:tcW w:w="8796" w:type="dxa"/>
            <w:hideMark/>
          </w:tcPr>
          <w:p w:rsidR="009C2CE4" w:rsidRPr="009C2CE4" w:rsidRDefault="009C2CE4" w:rsidP="00FB6023">
            <w:pPr>
              <w:pStyle w:val="a4"/>
              <w:spacing w:line="276" w:lineRule="auto"/>
              <w:rPr>
                <w:b/>
                <w:iCs/>
                <w:szCs w:val="28"/>
                <w:lang w:eastAsia="en-US"/>
              </w:rPr>
            </w:pPr>
            <w:r w:rsidRPr="009C2CE4">
              <w:rPr>
                <w:b/>
                <w:iCs/>
                <w:szCs w:val="28"/>
                <w:lang w:eastAsia="en-US"/>
              </w:rPr>
              <w:t>Разное.</w:t>
            </w:r>
          </w:p>
        </w:tc>
      </w:tr>
    </w:tbl>
    <w:p w:rsidR="009C2CE4" w:rsidRDefault="009C2CE4" w:rsidP="009C2CE4">
      <w:pPr>
        <w:rPr>
          <w:bCs/>
          <w:color w:val="000000"/>
          <w:sz w:val="28"/>
          <w:szCs w:val="28"/>
        </w:rPr>
      </w:pPr>
    </w:p>
    <w:p w:rsidR="009C2CE4" w:rsidRPr="009C2CE4" w:rsidRDefault="009C2CE4" w:rsidP="009C2CE4">
      <w:pPr>
        <w:rPr>
          <w:bCs/>
          <w:color w:val="000000"/>
          <w:sz w:val="28"/>
          <w:szCs w:val="28"/>
        </w:rPr>
      </w:pPr>
    </w:p>
    <w:p w:rsidR="009C2CE4" w:rsidRPr="009C2CE4" w:rsidRDefault="009C2CE4" w:rsidP="009C2CE4">
      <w:pPr>
        <w:pStyle w:val="a4"/>
        <w:spacing w:line="276" w:lineRule="auto"/>
        <w:jc w:val="left"/>
        <w:rPr>
          <w:b/>
          <w:bCs/>
          <w:szCs w:val="28"/>
          <w:lang w:eastAsia="en-US"/>
        </w:rPr>
      </w:pPr>
      <w:r w:rsidRPr="009C2CE4">
        <w:rPr>
          <w:b/>
          <w:bCs/>
          <w:szCs w:val="28"/>
          <w:lang w:eastAsia="en-US"/>
        </w:rPr>
        <w:t>Приглашенные:</w:t>
      </w:r>
    </w:p>
    <w:p w:rsidR="009C2CE4" w:rsidRDefault="009C2CE4" w:rsidP="009C2CE4">
      <w:pPr>
        <w:rPr>
          <w:bCs/>
          <w:color w:val="000000"/>
          <w:sz w:val="28"/>
          <w:szCs w:val="28"/>
        </w:rPr>
      </w:pP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2977"/>
        <w:gridCol w:w="7230"/>
      </w:tblGrid>
      <w:tr w:rsidR="00B748B0" w:rsidRPr="009C2CE4" w:rsidTr="005C1307">
        <w:trPr>
          <w:trHeight w:val="612"/>
        </w:trPr>
        <w:tc>
          <w:tcPr>
            <w:tcW w:w="2977" w:type="dxa"/>
            <w:hideMark/>
          </w:tcPr>
          <w:p w:rsidR="00B748B0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Дунаевская Наталья</w:t>
            </w:r>
          </w:p>
          <w:p w:rsidR="00B748B0" w:rsidRPr="009C2CE4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Аркадьевна</w:t>
            </w:r>
          </w:p>
        </w:tc>
        <w:tc>
          <w:tcPr>
            <w:tcW w:w="7230" w:type="dxa"/>
            <w:hideMark/>
          </w:tcPr>
          <w:p w:rsidR="00B748B0" w:rsidRPr="009C2CE4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- заместитель Главы Администрации </w:t>
            </w:r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города </w:t>
            </w:r>
            <w:proofErr w:type="gram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Ханты - </w:t>
            </w:r>
            <w:proofErr w:type="spell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B748B0" w:rsidRPr="009C2CE4" w:rsidTr="00B748B0">
        <w:trPr>
          <w:trHeight w:val="612"/>
        </w:trPr>
        <w:tc>
          <w:tcPr>
            <w:tcW w:w="2977" w:type="dxa"/>
            <w:hideMark/>
          </w:tcPr>
          <w:p w:rsidR="00B748B0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Воронова Вера</w:t>
            </w:r>
          </w:p>
          <w:p w:rsidR="00B748B0" w:rsidRPr="009C2CE4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Анатольевна</w:t>
            </w:r>
          </w:p>
        </w:tc>
        <w:tc>
          <w:tcPr>
            <w:tcW w:w="7230" w:type="dxa"/>
            <w:hideMark/>
          </w:tcPr>
          <w:p w:rsidR="00B748B0" w:rsidRPr="009C2CE4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- директор Департамента управления финансами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города </w:t>
            </w:r>
            <w:proofErr w:type="gram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Ханты - </w:t>
            </w:r>
            <w:proofErr w:type="spell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B748B0" w:rsidRPr="009C2CE4" w:rsidTr="005C1307">
        <w:trPr>
          <w:trHeight w:val="612"/>
        </w:trPr>
        <w:tc>
          <w:tcPr>
            <w:tcW w:w="2977" w:type="dxa"/>
            <w:hideMark/>
          </w:tcPr>
          <w:p w:rsidR="00B748B0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Романюк Александр</w:t>
            </w:r>
          </w:p>
          <w:p w:rsidR="00B748B0" w:rsidRPr="009C2CE4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/>
                <w:bCs/>
                <w:color w:val="000000"/>
                <w:sz w:val="28"/>
                <w:szCs w:val="28"/>
                <w:lang w:eastAsia="en-US"/>
              </w:rPr>
              <w:t>Сергеевич</w:t>
            </w:r>
          </w:p>
        </w:tc>
        <w:tc>
          <w:tcPr>
            <w:tcW w:w="7230" w:type="dxa"/>
            <w:hideMark/>
          </w:tcPr>
          <w:p w:rsidR="00B748B0" w:rsidRPr="009C2CE4" w:rsidRDefault="00B748B0" w:rsidP="005C1307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- начальник юридического управления </w:t>
            </w:r>
            <w:r>
              <w:rPr>
                <w:bCs/>
                <w:color w:val="000000"/>
                <w:sz w:val="28"/>
                <w:szCs w:val="28"/>
                <w:lang w:eastAsia="en-US"/>
              </w:rPr>
              <w:t xml:space="preserve">Администрации </w:t>
            </w:r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города </w:t>
            </w:r>
            <w:proofErr w:type="gram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Ханты - </w:t>
            </w:r>
            <w:proofErr w:type="spell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9C2CE4" w:rsidRPr="009C2CE4" w:rsidTr="009C2CE4">
        <w:trPr>
          <w:trHeight w:val="612"/>
        </w:trPr>
        <w:tc>
          <w:tcPr>
            <w:tcW w:w="2977" w:type="dxa"/>
            <w:hideMark/>
          </w:tcPr>
          <w:p w:rsidR="009C2CE4" w:rsidRPr="009C2CE4" w:rsidRDefault="009C2CE4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C2CE4">
              <w:rPr>
                <w:b/>
                <w:bCs/>
                <w:color w:val="000000"/>
                <w:sz w:val="28"/>
                <w:szCs w:val="28"/>
                <w:lang w:eastAsia="en-US"/>
              </w:rPr>
              <w:t>Абашина</w:t>
            </w:r>
            <w:proofErr w:type="spellEnd"/>
          </w:p>
          <w:p w:rsidR="009C2CE4" w:rsidRPr="009C2CE4" w:rsidRDefault="009C2CE4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9C2CE4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Татьяна Михайловна </w:t>
            </w:r>
          </w:p>
        </w:tc>
        <w:tc>
          <w:tcPr>
            <w:tcW w:w="7230" w:type="dxa"/>
            <w:hideMark/>
          </w:tcPr>
          <w:p w:rsidR="009C2CE4" w:rsidRPr="009C2CE4" w:rsidRDefault="009C2CE4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- начальник Управления финансового контроля – Контрольного органа Думы города </w:t>
            </w:r>
            <w:proofErr w:type="gram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Ханты - </w:t>
            </w:r>
            <w:proofErr w:type="spell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>Мансийска</w:t>
            </w:r>
            <w:proofErr w:type="spellEnd"/>
            <w:proofErr w:type="gramEnd"/>
          </w:p>
        </w:tc>
      </w:tr>
      <w:tr w:rsidR="009C2CE4" w:rsidRPr="009C2CE4" w:rsidTr="009C2CE4">
        <w:tc>
          <w:tcPr>
            <w:tcW w:w="2977" w:type="dxa"/>
            <w:hideMark/>
          </w:tcPr>
          <w:p w:rsidR="009C2CE4" w:rsidRPr="009C2CE4" w:rsidRDefault="009C2CE4">
            <w:pPr>
              <w:tabs>
                <w:tab w:val="left" w:pos="10348"/>
                <w:tab w:val="left" w:pos="10772"/>
              </w:tabs>
              <w:spacing w:line="276" w:lineRule="auto"/>
              <w:rPr>
                <w:b/>
                <w:bCs/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9C2CE4">
              <w:rPr>
                <w:b/>
                <w:bCs/>
                <w:color w:val="000000"/>
                <w:sz w:val="28"/>
                <w:szCs w:val="28"/>
                <w:lang w:eastAsia="en-US"/>
              </w:rPr>
              <w:t>Ларман</w:t>
            </w:r>
            <w:proofErr w:type="spellEnd"/>
            <w:r w:rsidRPr="009C2CE4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Фарида </w:t>
            </w:r>
            <w:proofErr w:type="spellStart"/>
            <w:r w:rsidRPr="009C2CE4">
              <w:rPr>
                <w:b/>
                <w:bCs/>
                <w:color w:val="000000"/>
                <w:sz w:val="28"/>
                <w:szCs w:val="28"/>
                <w:lang w:eastAsia="en-US"/>
              </w:rPr>
              <w:t>Капезовна</w:t>
            </w:r>
            <w:proofErr w:type="spellEnd"/>
            <w:r w:rsidRPr="009C2CE4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230" w:type="dxa"/>
            <w:hideMark/>
          </w:tcPr>
          <w:p w:rsidR="009C2CE4" w:rsidRPr="009C2CE4" w:rsidRDefault="009C2CE4">
            <w:pPr>
              <w:tabs>
                <w:tab w:val="left" w:pos="10348"/>
                <w:tab w:val="left" w:pos="10772"/>
              </w:tabs>
              <w:spacing w:line="276" w:lineRule="auto"/>
              <w:jc w:val="both"/>
              <w:rPr>
                <w:bCs/>
                <w:color w:val="000000"/>
                <w:sz w:val="28"/>
                <w:szCs w:val="28"/>
                <w:lang w:eastAsia="en-US"/>
              </w:rPr>
            </w:pPr>
            <w:r w:rsidRPr="009C2CE4">
              <w:rPr>
                <w:b/>
                <w:bCs/>
                <w:color w:val="000000"/>
                <w:sz w:val="28"/>
                <w:szCs w:val="28"/>
                <w:lang w:eastAsia="en-US"/>
              </w:rPr>
              <w:t xml:space="preserve"> - </w:t>
            </w:r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 начальник юридического управления аппарата Думы города </w:t>
            </w:r>
            <w:proofErr w:type="gram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 xml:space="preserve">Ханты – </w:t>
            </w:r>
            <w:proofErr w:type="spellStart"/>
            <w:r w:rsidRPr="009C2CE4">
              <w:rPr>
                <w:bCs/>
                <w:color w:val="000000"/>
                <w:sz w:val="28"/>
                <w:szCs w:val="28"/>
                <w:lang w:eastAsia="en-US"/>
              </w:rPr>
              <w:t>Мансийска</w:t>
            </w:r>
            <w:proofErr w:type="spellEnd"/>
            <w:proofErr w:type="gramEnd"/>
          </w:p>
        </w:tc>
      </w:tr>
    </w:tbl>
    <w:p w:rsidR="009C2CE4" w:rsidRPr="009C2CE4" w:rsidRDefault="009C2CE4" w:rsidP="009C2CE4">
      <w:pPr>
        <w:rPr>
          <w:bCs/>
          <w:color w:val="000000"/>
          <w:sz w:val="28"/>
          <w:szCs w:val="28"/>
        </w:rPr>
      </w:pPr>
    </w:p>
    <w:p w:rsidR="009C2CE4" w:rsidRPr="009C2CE4" w:rsidRDefault="009C2CE4" w:rsidP="009C2CE4">
      <w:pPr>
        <w:rPr>
          <w:bCs/>
          <w:color w:val="000000"/>
          <w:sz w:val="28"/>
          <w:szCs w:val="28"/>
        </w:rPr>
      </w:pPr>
    </w:p>
    <w:p w:rsidR="00B826E5" w:rsidRPr="009C2CE4" w:rsidRDefault="00B826E5">
      <w:pPr>
        <w:rPr>
          <w:sz w:val="28"/>
          <w:szCs w:val="28"/>
        </w:rPr>
      </w:pPr>
    </w:p>
    <w:sectPr w:rsidR="00B826E5" w:rsidRPr="009C2CE4" w:rsidSect="009C2CE4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F1C"/>
    <w:rsid w:val="000368CA"/>
    <w:rsid w:val="00177D2A"/>
    <w:rsid w:val="002A7C36"/>
    <w:rsid w:val="002B2F1C"/>
    <w:rsid w:val="00377369"/>
    <w:rsid w:val="00435AB1"/>
    <w:rsid w:val="00706FC3"/>
    <w:rsid w:val="00810AFB"/>
    <w:rsid w:val="009C2CE4"/>
    <w:rsid w:val="009F5222"/>
    <w:rsid w:val="00B748B0"/>
    <w:rsid w:val="00B826E5"/>
    <w:rsid w:val="00D3559D"/>
    <w:rsid w:val="00DB2532"/>
    <w:rsid w:val="00DF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C2CE4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9C2CE4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C2CE4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9C2C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9C2CE4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9C2CE4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9C2CE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9C2CE4"/>
    <w:pPr>
      <w:keepNext/>
      <w:jc w:val="center"/>
      <w:outlineLvl w:val="2"/>
    </w:pPr>
    <w:rPr>
      <w:b/>
      <w:sz w:val="56"/>
    </w:rPr>
  </w:style>
  <w:style w:type="paragraph" w:styleId="7">
    <w:name w:val="heading 7"/>
    <w:basedOn w:val="a"/>
    <w:next w:val="a"/>
    <w:link w:val="70"/>
    <w:semiHidden/>
    <w:unhideWhenUsed/>
    <w:qFormat/>
    <w:rsid w:val="009C2CE4"/>
    <w:pPr>
      <w:keepNext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9C2CE4"/>
    <w:rPr>
      <w:rFonts w:ascii="Times New Roman" w:eastAsia="Times New Roman" w:hAnsi="Times New Roman" w:cs="Times New Roman"/>
      <w:b/>
      <w:sz w:val="56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9C2C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9C2CE4"/>
    <w:pPr>
      <w:jc w:val="center"/>
    </w:pPr>
    <w:rPr>
      <w:sz w:val="28"/>
    </w:rPr>
  </w:style>
  <w:style w:type="paragraph" w:styleId="a4">
    <w:name w:val="Body Text Indent"/>
    <w:basedOn w:val="a"/>
    <w:link w:val="a5"/>
    <w:unhideWhenUsed/>
    <w:rsid w:val="009C2CE4"/>
    <w:pPr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9C2CE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6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4</cp:revision>
  <dcterms:created xsi:type="dcterms:W3CDTF">2012-06-14T04:58:00Z</dcterms:created>
  <dcterms:modified xsi:type="dcterms:W3CDTF">2012-06-14T08:11:00Z</dcterms:modified>
</cp:coreProperties>
</file>