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3"/>
        <w:gridCol w:w="4195"/>
      </w:tblGrid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0AF" w:rsidRPr="009361AC" w:rsidRDefault="00F530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1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5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567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№5</w:t>
                  </w:r>
                </w:p>
                <w:p w:rsidR="00F530AF" w:rsidRPr="009361AC" w:rsidRDefault="009361AC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Решению Думы города Ханты-Мансийска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</w:tr>
    </w:tbl>
    <w:p w:rsidR="00F530AF" w:rsidRPr="009361AC" w:rsidRDefault="00F530AF" w:rsidP="00F530AF">
      <w:pPr>
        <w:rPr>
          <w:vanish/>
          <w:sz w:val="20"/>
          <w:szCs w:val="20"/>
        </w:rPr>
      </w:pPr>
    </w:p>
    <w:tbl>
      <w:tblPr>
        <w:tblW w:w="10488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0488"/>
      </w:tblGrid>
      <w:tr w:rsidR="00F530AF" w:rsidRPr="009361AC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F530AF" w:rsidRPr="009361AC" w:rsidRDefault="009361AC">
            <w:pPr>
              <w:pStyle w:val="Standard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города Ханты-Мансийска по целевым статьям (муниципальным программам и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бюджетов на 2023 год</w:t>
            </w:r>
          </w:p>
        </w:tc>
      </w:tr>
    </w:tbl>
    <w:p w:rsidR="00F530AF" w:rsidRPr="009361AC" w:rsidRDefault="00F530AF" w:rsidP="00F530AF">
      <w:pPr>
        <w:rPr>
          <w:vanish/>
          <w:sz w:val="20"/>
          <w:szCs w:val="20"/>
        </w:rPr>
      </w:pPr>
    </w:p>
    <w:tbl>
      <w:tblPr>
        <w:tblW w:w="10488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0488"/>
      </w:tblGrid>
      <w:tr w:rsidR="00F530AF" w:rsidRPr="009361AC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</w:tbl>
    <w:p w:rsidR="00F530AF" w:rsidRPr="009361AC" w:rsidRDefault="00F530AF" w:rsidP="00F530AF">
      <w:pPr>
        <w:rPr>
          <w:vanish/>
          <w:sz w:val="20"/>
          <w:szCs w:val="20"/>
        </w:rPr>
      </w:pPr>
    </w:p>
    <w:tbl>
      <w:tblPr>
        <w:tblW w:w="10488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4"/>
        <w:gridCol w:w="1927"/>
        <w:gridCol w:w="1077"/>
        <w:gridCol w:w="2040"/>
      </w:tblGrid>
      <w:tr w:rsidR="00F530AF" w:rsidRPr="009361AC" w:rsidTr="00F530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29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293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_bookmark_1"/>
                  <w:bookmarkEnd w:id="0"/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77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77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 статья расходов (ЦСР)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27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расходов (ВР)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9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91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- всего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</w:tr>
    </w:tbl>
    <w:p w:rsidR="00F530AF" w:rsidRPr="009361AC" w:rsidRDefault="00F530AF" w:rsidP="00F530AF">
      <w:pPr>
        <w:rPr>
          <w:vanish/>
          <w:sz w:val="20"/>
          <w:szCs w:val="20"/>
        </w:rPr>
      </w:pPr>
    </w:p>
    <w:tbl>
      <w:tblPr>
        <w:tblW w:w="10488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4"/>
        <w:gridCol w:w="1927"/>
        <w:gridCol w:w="1077"/>
        <w:gridCol w:w="2040"/>
      </w:tblGrid>
      <w:tr w:rsidR="00F530AF" w:rsidRPr="009361AC" w:rsidTr="00F530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29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293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__bookmark_2"/>
                  <w:bookmarkEnd w:id="1"/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77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77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27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9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91"/>
            </w:tblGrid>
            <w:tr w:rsidR="00F530AF" w:rsidRPr="009361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30AF" w:rsidRPr="009361AC" w:rsidRDefault="009361AC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61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530AF" w:rsidRPr="009361AC" w:rsidRDefault="00F530AF">
            <w:pPr>
              <w:rPr>
                <w:sz w:val="20"/>
                <w:szCs w:val="20"/>
              </w:rPr>
            </w:pP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2 452 879,34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2 452 879,34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2 452 879,34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2 238 161,34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2 238 161,34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214 718,00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214 718,00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общественной безопасности и правопорядка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12 896 400,29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12 094 063,54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функционирования и развития систем видеонаблюдения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обеспечения общественной безопасности и 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государственных полномочий по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4 161 000,00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правления, уполномоченных составлять протоколы об административных правонарушениях, предусмотренных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пунктом 2 статьи 48 Закона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4 043 782,00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4 043 782,00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117 218,00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117 218,00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атели федеральных судов общей юрисдикции"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незаконного оборота и потребления наркотических средств и психотропных веществ"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339 003,42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"Реализация мероприятий по информационной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239 003,42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239 003,42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239 003,42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239 003,42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"Реализация государственной национальной политики 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экстремизма"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463 333,33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163 333,33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03 3 01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163 333,33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163 333,33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163 333,33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социальной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культурной адаптации и интеграции мигрантов"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361 849 031,16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массовой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48 314 590,48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тренировочных мероприятиях, семинарах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30 930 192,16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30 930 192,16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30 853 842,16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бюджетным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30 853 842,16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6 935 872,00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855 872,00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855 872,00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855 872,00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10 229 263,16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на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на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образований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2 631 800,00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2 631 800,00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2 631 800,00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372 947,37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372 947,37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372 947,37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138 515,79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138 515,79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138 515,79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поддержка спортивных организаций,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313 534 440,68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"Обеспечение деятельности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313 534 440,68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17 922 741,96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17 922 741,96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17 922 741,96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2 049 598,17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403 511,00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403 511,00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241 926 751,75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91 521 175,31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"Развитие библиотечного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91 414 975,31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89 669 815,31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89 669 815,31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89 669 815,31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сферы культуры в муниципальных образованиях Ханты-Мансийского 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179 410,00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179 410,00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179 410,00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487 250,00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487 250,00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487 250,00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развитие сферы культуры в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образованиях Ханты-Мансийского 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полномочий по хранению, комплектованию, учету и использованию архивных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документов, относящихся к государственной собственности Ханты-Мансийского 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150 405 576,44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творчес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потенциала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150 405 576,44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146 995 729,24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146 995 729,24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146 995 729,24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3 409 847,20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3 409 847,20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3 409 847,20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7 854 887 733,73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"Общее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образование. Дополнительное образование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5 351 061 704,31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2 936 280,00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2 936 280,00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1 195 320,00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1 195 320,00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1 372 160,00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1 372 160,00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системы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детей. Организация отдыха и оздоровления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64 820 770,00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отдыха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7 061 170,00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6 797 770,00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6 767 770,00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07 1 02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18 006 300,00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18 006 300,00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17 758 237,50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248 062,50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27 749 100,00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27 749 100,00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27 749 100,00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11 838 825,00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165 375,00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основных общеобразовательных программ и программ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5 241 096 767,96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836 175 738,82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836 175 738,82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822 121 327,58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14 054 411,24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91 869 100,00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91 869 100,00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91 869 100,00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осуществления присмотра и ухода за детьми,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07 1 03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19 488 000,00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19 488 000,00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19 488 000,00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260 736 000,00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260 7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260 736 000,00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07 1 03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89 558 000,00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3 961 759,48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3 961 759,48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1 262 240,52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1 262 240,52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государственных полномочий в области обр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1 741 712 700,00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1 741 712 700,00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1 641 537 148,10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100 175 551,90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на получение образования и осуществления переданных органам местного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самоуправления муниципальных образований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100 335 40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100 335 400,00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100 335 400,00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1 973 180 800,00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1 973 180 800,00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1 973 180 800,00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на получение образования и осуществления переданных органам местного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самоуправления муниципальных образований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форме единого государственного экзамена)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9 614 100,00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9 614 100,00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1 689 029,14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1 333 029,14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1 333 029,14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116 737 900,00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116 737 900,00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116 737 900,00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07 1 04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"Система оценки качества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информационная прозрачность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образовательного стандарта и учет динамики достижений каждого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3 355 012,00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2 499 889 817,42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и контроля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30 121 056,44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28 245 899,44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28 103 899,44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28 103 899,44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органов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07 4 01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131 491 814,44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101 033 454,44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96 553 069,93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96 553 069,93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4 407 389,51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4 407 389,51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72 995,00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72 995,00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30 458 360,00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30 278 360,00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30 278 360,00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комплексной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189 003 390,98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189 003 390,98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189 003 390,98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189 003 390,98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278 877 777,78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муниципальную собственность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образовательных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организаций для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07 4 04 82090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07 4 04 82090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07 4 04 82090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на создание образовательных организаций, организаций для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S2090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27 777 777,78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S2090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27 777 777,78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S2090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27 777 777,78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1 870 395 777,78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53050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78 108 000,00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53050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78 108 000,00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53050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78 108 000,00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новых мест в муниципальных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1 613 059 000,00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1 325 593 300,00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1 325 593 300,00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287 465 700,00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287 465 700,00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местного бюджета расходов на создание новых мест в муниципальных общеобразовательных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179 228 777,78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147 288 144,45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147 288 144,45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31 940 633,33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31 940 633,33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169 959 279,03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условий отдельных категорий граждан 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101 012 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022,47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полномочий в области строительства и жилищных отношений (приобретение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находятся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жилые помеще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входящие в аварийный жилищный фонд, возмещения за изымаемые жилые помещения)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09 0 01 82901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67 926 600,00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67 926 600,00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67 926 600,00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24 690 000,00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24 690 000,00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24 690 000,00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для реализации полномочий в области строительства и жилищных отношений (приобретение жилья в целях переселения граждан из жилых домов,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фонда, переселения граждан из жилых домов, находящихся в зонах затопления, подтопления, создание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наемных домов социального использования и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S2901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8 395 422,47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S2901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8 395 422,47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S2901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8 395 422,47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"Строительство жилых помещений с целью улучшения жилищных условий отдельных категорий граждан 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переселения граждан из аварийного и непригодного для проживания жилищного фонда"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58 924 656,56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4 989 400,00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4 989 400,00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4 989 400,00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09 0 03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5 243 730,24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5 243 730,24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5 243 730,24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"Администрирование переданного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полномочий, указанных в пунктах 3.1, 3.2 статьи 2 Закона Ханты-Мансийск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категорий граждан, определенных федеральным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183 730 024,32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69 989 809,20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22 579 995,00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22 579 995,00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22 579 995,00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47 409 814,20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45 732 414,20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45 732 414,20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1 677 400,00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1 677 400,00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113 740 215,12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42 608 003,12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37 094 769,65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37 094 769,65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5 513 233,47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5 513 233,47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65 518 212,00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65 518 212,00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65 518 212,00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7 198 871,00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7 198 871,00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1 407 625,00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реализацию полномочий в сфере жилищно-коммунальн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1 126 100,00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1 126 100,00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1 126 100,00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281 525,00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281 525,00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281 525,00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"Переключение муниципального жилого фонда на канализационный к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оллектор и ликвидация выгребов"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системе теплоснабжения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2017-2032 годы"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1 084 101 186,34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жилищного хозяйства и содержание объектов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186 294 919,98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63 035 174,43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50 507 978,37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50 507 978,37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12 527 172,06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12 527 172,06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70 339 717,64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69 331 887,64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69 331 887,64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1 007 830,00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1 007 830,00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7 176 734,42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14 090 215,64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12 0 01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14 090 215,64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14 090 215,64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31 653 077,85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31 653 077,85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31 653 077,85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61 986 100,00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23 981 221,05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23 981 221,05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23 981 221,05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социально ориентированным некоммерческим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1 724 078,95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1 724 078,95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1 724 078,95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возмещению недополученных доходов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36 280 800,00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36 278 200,00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36 278 200,00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санитарного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состояния и благоустройство, озеленение территории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336 740 039,26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81 232 097,95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81 232 097,95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81 232 097,95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13 817 473,87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13 817 473,87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13 817 473,87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организацию мероприятий при осуществлении деятельности по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обращению с животными без владельцев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69 592,16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69 592,16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1 478 607,84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1 478 607,84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автономном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округе–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37 266,00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37 266,00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4 627 034,00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4 627 034,00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на осуществление отдельных государственных полномочий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обращения с твердыми коммунальными отходами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17 398,04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17 398,04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160 301,96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160 301,96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235 300 267,44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235 300 267,44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235 300 267,44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 "Формирование комфортной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39 486 930,00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17 621 375,00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17 621 375,00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17 621 375,00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программ формирования современной городской среды на благоустройство территорий муниципальных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82020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14 634 500,00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82020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14 634 500,00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 F2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14 634 500,00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S2020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7 231 055,00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S2020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7 231 055,00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S2020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7 231 055,00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"Осуществление 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454 545 455,00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 Ханты-Мансийского 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27 362 003,10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осуществлению функций административного центра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27 088 383,07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20 595 796,07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20 595 796,07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6 492 587,00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6 492 587,00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осуществление функций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административного центра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273 620,03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208 038,34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208 038,34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65 581,69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65 581,69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427 183 4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осуществлению функций административного центра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422 911 616,93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368 934 616,93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368 934 616,93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53 977 000,00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53 977 000,00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4 271 834,97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3 726 612,75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3 726 612,75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545 222,22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545 222,22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города 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421 076 381,75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87 686 876,75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69 525 910,00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67 915 832,00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67 915 832,00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1 610 078,00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1 610 078,00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18 160 966,75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государственного (муниципального)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в бюджете города резервного фонда Администрации города в соответствии с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требованиями Бюджетного кодекса Российской Федерации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58 840 082,00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32 713 769,00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29 004 008,00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29 004 008,00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3 684 761,00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3 684 761,00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полномочий Думы города в сфере наград и почетных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представительного органа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5 832 828,00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5 832 828,00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5 832 828,00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4 368 615,00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4 368 615,00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4 368 615,00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7 706 912,00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7 706 912,00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7 706 912,00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7 988 078,00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14 0 04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5 890 178,00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5 890 178,00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322 175 487,35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"Строительство,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реконструкция, капитальный ремонт и ремонт объектов улично-дорожной сети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42 960 794,08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собственностью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16 335 893,05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16 335 893,05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16 335 893,05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26 624 901,03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26 624 901,03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26 624 901,03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"Повышение комплексной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дорожного движения и устойчивости транспортной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15 0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47 410 819,27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3 286 809,36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3 286 809,36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3 286 809,36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на приобретение и установку работающих в автоматическом режиме специальных технических средств, имеющих функции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фото- и киносъемки, видеозаписи для фиксации нарушений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16 656 409,91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16 656 409,91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16 656 409,91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транспортного обслуживания населения автомобильным, внутренним водным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транспортом в границах городского округа город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192 016 274,00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183 916 274,00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183 916 274,00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183 916 274,00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R1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39 787 600,00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82350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35 808 800,00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82350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35 808 800,00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82350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35 808 800,00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выполнение дорожных работ в соответствии с программой дорожной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S2350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3 978 800,00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S2350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3 978 800,00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S2350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3 978 800,00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295 425 829,10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13 621 000,00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мероприятия "Создание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 для реализации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13 621 000,00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13 621 000,00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13 621 000,00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13 621 000,00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оводимых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108 589 542,43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мероприятия "Обеспечение деятельности МБУ "Городской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17 5 00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173 215 286,67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121 687 200,52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121 687 200,52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24 804 773,52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24 804 773,52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87 761 424,00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8 237 964,00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79 523 460,00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9 121 003,00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9 121 003,00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мероприятия "Обеспечение деятельности МКУ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"Служба социальной поддержки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32 757 193,94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32 757 193,94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18 770 892,21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18 770 892,21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"Содействие 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3 677 268,00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земельных участков садоводческим и огородническим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Гранты в форме субсидий общественным организациям в рамках муниципальной программы "Содействие развитию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от чрезвычайных 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164 711 596,93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36 090 246,00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8 455 869,74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8 455 869,74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8 147 869,74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8 147 869,74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27 634 376,26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27 634 376,26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27 634 376,26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27 634 376,26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128 621 350,93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условий для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выполнения функций и полномочий, возложенных на МКУ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128 621 350,93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128 621 350,93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116 429 665,49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116 429 665,49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11 767 836,68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11 767 836,68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423 848,76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423 848,76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градостроительной деятельности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</w:t>
            </w: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187 838 028,98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9 657 103,00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реа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полномочий в области градостроительной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23 0 01 82910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8 256 500,00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23 0 01 82910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8 256 500,00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23 0 01 82910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8 256 500,00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584 026,00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584 026,00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584 026,00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для реализации полномочий в области градостроительной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S2910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816 577,00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S2910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816 577,00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S2910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816 577,00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177 580 925,98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99 068 486,18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70 046 751,25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70 046 751,25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28 921 734,93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28 921 734,93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72 489 388,00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71 284 148,00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71 284 148,00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1 205 240,00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1 205 240,00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6 023 051,80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"Проведение экспертиз зданий и сооружений"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615 952 109,42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государственной регистрации актов гражданского состояния, созданию и осуществлению деятельности комиссии по дела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несовершеннолетних и защите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612 658 109,42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255 944 264,42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138 566 326,21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138 566 326,21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116 534 928,21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116 534 928,21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843 010,00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843 010,00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26 0 05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29 649 000,00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15 860 000,00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15 860 000,00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10 669 000,00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10 669 000,00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состояния, за сч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8 578 600,00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7 204 193,00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7 204 193,00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1 374 407,00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1 374 407,00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и защите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11 302 400,00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26 0 05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10 036 400,00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10 036 400,00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автономного округа -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2 432 000,00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79 320 586,51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16 043 912,60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"Создание условий для легкого старта и комфортного ведения бизнеса"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478 444,44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82330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82330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27 1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I4 82330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 расходов на финансовую поддержку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S2330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47 844,44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S2330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47 844,44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 1 I4 S2330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47 844,44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4 186 000,00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3 767 400,00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3 767 400,00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3 767 400,00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расходов на финансовую поддержку субъектов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16 253 200,00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 развитие животноводства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15 157 000,00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27 2 04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деятельности по заготовке и переработке дикоросов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27 3 00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"Корректировка (уточнение) документов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стратегического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15 844 964,10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184 985,00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34 985,00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34 985,00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34 985,00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смотров-конкурсов в обл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отдела охраны труда управления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экономического</w:t>
            </w:r>
            <w:proofErr w:type="gram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и инвестиций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трудоустройству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7 329 600,00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27 4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107 900,00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7 121 700,00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7 121 700,00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4 396 664,10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4 396 664,10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4 396 664,10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внутреннего и въездного туризма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28 878 509,81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Российской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9 200 000,00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F530AF" w:rsidRPr="009361AC" w:rsidTr="00F530AF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F530A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30AF" w:rsidRPr="009361AC" w:rsidRDefault="009361AC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12 463 724 900,00</w:t>
            </w:r>
          </w:p>
        </w:tc>
      </w:tr>
    </w:tbl>
    <w:p w:rsidR="00000000" w:rsidRPr="009361AC" w:rsidRDefault="009361AC">
      <w:pPr>
        <w:rPr>
          <w:sz w:val="20"/>
          <w:szCs w:val="20"/>
        </w:rPr>
      </w:pPr>
    </w:p>
    <w:sectPr w:rsidR="00000000" w:rsidRPr="009361AC" w:rsidSect="00F530AF">
      <w:headerReference w:type="default" r:id="rId6"/>
      <w:footerReference w:type="default" r:id="rId7"/>
      <w:pgSz w:w="11906" w:h="16838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AF" w:rsidRDefault="00F530AF" w:rsidP="00F530AF">
      <w:r>
        <w:separator/>
      </w:r>
    </w:p>
  </w:endnote>
  <w:endnote w:type="continuationSeparator" w:id="0">
    <w:p w:rsidR="00F530AF" w:rsidRDefault="00F530AF" w:rsidP="00F5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30A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AF" w:rsidRDefault="00F530AF" w:rsidP="00F530AF">
      <w:r>
        <w:separator/>
      </w:r>
    </w:p>
  </w:footnote>
  <w:footnote w:type="continuationSeparator" w:id="0">
    <w:p w:rsidR="00F530AF" w:rsidRDefault="00F530AF" w:rsidP="00F5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AF" w:rsidRDefault="00F530AF">
    <w:pPr>
      <w:pStyle w:val="Standard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9361AC">
      <w:rPr>
        <w:rFonts w:ascii="Times New Roman" w:eastAsia="Times New Roman" w:hAnsi="Times New Roman" w:cs="Times New Roman"/>
        <w:noProof/>
        <w:color w:val="000000"/>
        <w:sz w:val="20"/>
        <w:szCs w:val="20"/>
      </w:rPr>
      <w:t>30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0AF"/>
    <w:rsid w:val="009361AC"/>
    <w:rsid w:val="00F5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0AF"/>
  </w:style>
  <w:style w:type="paragraph" w:customStyle="1" w:styleId="Hidden">
    <w:name w:val="Hidden"/>
    <w:rsid w:val="00F530AF"/>
  </w:style>
  <w:style w:type="paragraph" w:styleId="a3">
    <w:name w:val="header"/>
    <w:basedOn w:val="a"/>
    <w:link w:val="a4"/>
    <w:uiPriority w:val="99"/>
    <w:semiHidden/>
    <w:unhideWhenUsed/>
    <w:rsid w:val="00F53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0AF"/>
  </w:style>
  <w:style w:type="paragraph" w:styleId="a5">
    <w:name w:val="footer"/>
    <w:basedOn w:val="a"/>
    <w:link w:val="a6"/>
    <w:uiPriority w:val="99"/>
    <w:semiHidden/>
    <w:unhideWhenUsed/>
    <w:rsid w:val="00F53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0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14950</Words>
  <Characters>85220</Characters>
  <Application>Microsoft Office Word</Application>
  <DocSecurity>4</DocSecurity>
  <Lines>710</Lines>
  <Paragraphs>199</Paragraphs>
  <ScaleCrop>false</ScaleCrop>
  <Company/>
  <LinksUpToDate>false</LinksUpToDate>
  <CharactersWithSpaces>99971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Оксана Сергеевна</dc:creator>
  <cp:lastModifiedBy>LazarevaOS</cp:lastModifiedBy>
  <cp:revision>2</cp:revision>
  <dcterms:created xsi:type="dcterms:W3CDTF">2022-11-13T06:21:00Z</dcterms:created>
  <dcterms:modified xsi:type="dcterms:W3CDTF">2022-11-13T06:21:00Z</dcterms:modified>
</cp:coreProperties>
</file>