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260518">
        <w:trPr>
          <w:trHeight w:val="699"/>
        </w:trPr>
        <w:tc>
          <w:tcPr>
            <w:tcW w:w="9356" w:type="dxa"/>
            <w:shd w:val="clear" w:color="auto" w:fill="auto"/>
          </w:tcPr>
          <w:p w:rsidR="00260518" w:rsidRDefault="00FB1D6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260518" w:rsidRDefault="00FB1D61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приказа Департамента труда и занятости населения Ханты-Мансийского автономного округа – Югры от 9 марта 2023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2-нп «Об утверждении Порядков предоставления субсидий из бюджета Ханты-Мансийского автономного округа – Югры юридическим лицам, индивидуальным предпринимателям, физическим лицам – производителям товаров, работ, услуг, некоммерческим организациям, не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ющимся государственными учреждениями, при реализации государственной программы Ханты-Мансийского автономного округа – Югры «Поддержка занятости населения»</w:t>
            </w:r>
          </w:p>
          <w:p w:rsidR="00260518" w:rsidRDefault="0026051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518" w:rsidRDefault="00FB1D61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Пожалуйста, заполните данную форму на портале проектов нормативных правовых актов по ссылке </w:t>
            </w:r>
            <w:hyperlink r:id="rId7" w:tooltip="http://regulation.admhmao.ru" w:history="1">
              <w:r>
                <w:rPr>
                  <w:rStyle w:val="af4"/>
                  <w:sz w:val="28"/>
                  <w:szCs w:val="28"/>
                </w:rPr>
                <w:t>http://regulation.admhmao.ru</w:t>
              </w:r>
            </w:hyperlink>
            <w:r>
              <w:rPr>
                <w:sz w:val="28"/>
                <w:szCs w:val="28"/>
              </w:rPr>
              <w:t xml:space="preserve"> или направьте данную форму по электронной почте на адрес </w:t>
            </w:r>
            <w:hyperlink r:id="rId8" w:tooltip="mailto:dtzn@admhmao.ru" w:history="1">
              <w:proofErr w:type="gramStart"/>
              <w:r>
                <w:rPr>
                  <w:rStyle w:val="af4"/>
                  <w:sz w:val="28"/>
                  <w:szCs w:val="28"/>
                </w:rPr>
                <w:t>dtzn@admhmao.ru</w:t>
              </w:r>
            </w:hyperlink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поздне</w:t>
            </w:r>
            <w:r>
              <w:rPr>
                <w:sz w:val="28"/>
                <w:szCs w:val="28"/>
              </w:rPr>
              <w:t>е 9 апреля 2023 года</w:t>
            </w:r>
          </w:p>
          <w:p w:rsidR="00260518" w:rsidRDefault="00260518">
            <w:pPr>
              <w:jc w:val="both"/>
              <w:rPr>
                <w:sz w:val="28"/>
                <w:szCs w:val="28"/>
              </w:rPr>
            </w:pPr>
          </w:p>
          <w:p w:rsidR="00260518" w:rsidRDefault="00FB1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260518" w:rsidRDefault="00260518">
      <w:pPr>
        <w:rPr>
          <w:sz w:val="28"/>
          <w:szCs w:val="28"/>
        </w:rPr>
      </w:pPr>
    </w:p>
    <w:p w:rsidR="00260518" w:rsidRDefault="00FB1D6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</w:t>
      </w:r>
    </w:p>
    <w:p w:rsidR="00260518" w:rsidRDefault="00260518">
      <w:pPr>
        <w:jc w:val="center"/>
        <w:rPr>
          <w:sz w:val="28"/>
          <w:szCs w:val="28"/>
        </w:rPr>
      </w:pPr>
    </w:p>
    <w:p w:rsidR="00260518" w:rsidRDefault="00FB1D6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260518" w:rsidRDefault="00FB1D61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</w:t>
      </w:r>
    </w:p>
    <w:p w:rsidR="00260518" w:rsidRDefault="00FB1D61">
      <w:pPr>
        <w:jc w:val="both"/>
        <w:rPr>
          <w:sz w:val="28"/>
          <w:szCs w:val="28"/>
        </w:rPr>
      </w:pPr>
      <w:r>
        <w:rPr>
          <w:sz w:val="28"/>
          <w:szCs w:val="28"/>
        </w:rPr>
        <w:t>Сфер</w:t>
      </w:r>
      <w:r>
        <w:rPr>
          <w:sz w:val="28"/>
          <w:szCs w:val="28"/>
        </w:rPr>
        <w:t>у деятельности организации __________________________________</w:t>
      </w:r>
    </w:p>
    <w:p w:rsidR="00260518" w:rsidRDefault="00FB1D61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</w:t>
      </w:r>
    </w:p>
    <w:p w:rsidR="00260518" w:rsidRDefault="00FB1D61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</w:t>
      </w:r>
    </w:p>
    <w:p w:rsidR="00260518" w:rsidRDefault="00FB1D6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</w:t>
      </w:r>
      <w:r>
        <w:rPr>
          <w:sz w:val="28"/>
          <w:szCs w:val="28"/>
        </w:rPr>
        <w:t>_</w:t>
      </w:r>
    </w:p>
    <w:p w:rsidR="00260518" w:rsidRDefault="00260518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60518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6051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26051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260518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4. Какие, по Вашему мнению, субъекты предпринимательской</w:t>
            </w:r>
            <w:r>
              <w:rPr>
                <w:rFonts w:eastAsia="Calibri"/>
                <w:i/>
                <w:color w:val="000000"/>
                <w:sz w:val="28"/>
                <w:lang w:eastAsia="en-US"/>
              </w:rPr>
              <w:t xml:space="preserve">, </w:t>
            </w:r>
            <w:r>
              <w:rPr>
                <w:i/>
                <w:color w:val="000000"/>
                <w:sz w:val="28"/>
              </w:rPr>
              <w:t>инвестиционной и иной экономической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деятельности будут затронуты предлагаемым регулированием (по видам субъектов, по отраслям, по </w:t>
            </w:r>
            <w:r>
              <w:rPr>
                <w:i/>
                <w:color w:val="000000"/>
                <w:sz w:val="28"/>
                <w:szCs w:val="28"/>
              </w:rPr>
              <w:lastRenderedPageBreak/>
              <w:t>количеству таких субъектов?)</w:t>
            </w:r>
          </w:p>
        </w:tc>
      </w:tr>
      <w:tr w:rsidR="00260518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60518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</w:t>
            </w:r>
            <w:r>
              <w:rPr>
                <w:i/>
                <w:color w:val="000000"/>
                <w:sz w:val="28"/>
                <w:szCs w:val="28"/>
              </w:rPr>
              <w:t xml:space="preserve">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26051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</w:t>
            </w:r>
            <w:r>
              <w:rPr>
                <w:i/>
                <w:color w:val="000000"/>
                <w:sz w:val="28"/>
                <w:szCs w:val="28"/>
              </w:rPr>
              <w:t xml:space="preserve"> нормативные правовые акты.</w:t>
            </w:r>
          </w:p>
        </w:tc>
      </w:tr>
      <w:tr w:rsidR="00260518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7.1. Соответствует ли проект нормативного правового акта, устанавливающего (изменяющего, отменяющего) обязательные требования, положениям Бюджетного кодекса Российской Федерации?</w:t>
            </w:r>
          </w:p>
        </w:tc>
      </w:tr>
      <w:tr w:rsidR="00260518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rPr>
                <w:color w:val="000000"/>
                <w:sz w:val="28"/>
                <w:szCs w:val="28"/>
              </w:rPr>
            </w:pPr>
          </w:p>
        </w:tc>
      </w:tr>
      <w:tr w:rsidR="00260518"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</w:t>
            </w:r>
            <w:r>
              <w:rPr>
                <w:rFonts w:eastAsia="Calibri"/>
                <w:i/>
                <w:color w:val="000000"/>
                <w:sz w:val="28"/>
                <w:lang w:eastAsia="en-US"/>
              </w:rPr>
              <w:t xml:space="preserve">, </w:t>
            </w:r>
            <w:r>
              <w:rPr>
                <w:i/>
                <w:color w:val="000000"/>
                <w:sz w:val="28"/>
              </w:rPr>
              <w:t>инвестиционной и иной экономической</w:t>
            </w:r>
            <w:r>
              <w:rPr>
                <w:i/>
                <w:color w:val="000000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- имеется</w:t>
            </w:r>
            <w:r>
              <w:rPr>
                <w:i/>
                <w:color w:val="000000"/>
                <w:sz w:val="28"/>
                <w:szCs w:val="28"/>
              </w:rPr>
              <w:t xml:space="preserve">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- имеются ли технические ошибки;</w:t>
            </w:r>
          </w:p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положений правового регулиров</w:t>
            </w:r>
            <w:r>
              <w:rPr>
                <w:i/>
                <w:color w:val="000000"/>
                <w:sz w:val="28"/>
                <w:szCs w:val="28"/>
              </w:rPr>
              <w:t>ания к избыточным действиям или, наоборот, ограничивает действия субъектов предпринимательской</w:t>
            </w:r>
            <w:r>
              <w:rPr>
                <w:rFonts w:eastAsia="Calibri"/>
                <w:i/>
                <w:color w:val="000000"/>
                <w:sz w:val="28"/>
                <w:lang w:eastAsia="en-US"/>
              </w:rPr>
              <w:t xml:space="preserve">, </w:t>
            </w:r>
            <w:r>
              <w:rPr>
                <w:i/>
                <w:color w:val="000000"/>
                <w:sz w:val="28"/>
              </w:rPr>
              <w:t>инвестиционной и иной экономической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деятельности;</w:t>
            </w:r>
          </w:p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</w:t>
            </w:r>
            <w:r>
              <w:rPr>
                <w:i/>
                <w:color w:val="000000"/>
                <w:sz w:val="28"/>
                <w:szCs w:val="28"/>
              </w:rPr>
              <w:t>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>
              <w:rPr>
                <w:rFonts w:eastAsia="Calibri"/>
                <w:color w:val="000000"/>
                <w:sz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</w:rPr>
              <w:t>инвестиционной и иной экономической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деятельности существующих или возможных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поставщиков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или потребителей;</w:t>
            </w:r>
          </w:p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>
              <w:rPr>
                <w:rFonts w:eastAsia="Calibri"/>
                <w:color w:val="000000"/>
                <w:sz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</w:rPr>
              <w:t xml:space="preserve">инвестиционной и </w:t>
            </w:r>
            <w:r>
              <w:rPr>
                <w:color w:val="000000"/>
                <w:sz w:val="28"/>
              </w:rPr>
              <w:lastRenderedPageBreak/>
              <w:t>иной экономическо</w:t>
            </w:r>
            <w:r>
              <w:rPr>
                <w:color w:val="000000"/>
                <w:sz w:val="28"/>
              </w:rPr>
              <w:t>й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- приводит ли к невозможности совершения законных действий</w:t>
            </w:r>
            <w:r>
              <w:rPr>
                <w:i/>
                <w:color w:val="000000"/>
                <w:sz w:val="28"/>
                <w:szCs w:val="28"/>
              </w:rPr>
              <w:t xml:space="preserve">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6051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9. К каким последствиям мож</w:t>
            </w:r>
            <w:r>
              <w:rPr>
                <w:i/>
                <w:color w:val="000000"/>
                <w:sz w:val="28"/>
                <w:szCs w:val="28"/>
              </w:rPr>
              <w:t>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60518"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10. Оцените издержки (упущенную выгоду) субъектов предпринимательской</w:t>
            </w:r>
            <w:r>
              <w:rPr>
                <w:rFonts w:eastAsia="Calibri"/>
                <w:color w:val="000000"/>
                <w:sz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</w:rPr>
              <w:t>инвестиционной и иной экономической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деятельности, возникающие при введении предлагаемого регулировании, а при возможности и бюджета Ханты-Мансийского авто</w:t>
            </w:r>
            <w:r>
              <w:rPr>
                <w:i/>
                <w:color w:val="000000"/>
                <w:sz w:val="28"/>
                <w:szCs w:val="28"/>
              </w:rPr>
              <w:t>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260518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397"/>
        </w:trPr>
        <w:tc>
          <w:tcPr>
            <w:tcW w:w="9356" w:type="dxa"/>
            <w:shd w:val="clear" w:color="auto" w:fill="auto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проектом  нормативного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правового акта?</w:t>
            </w:r>
          </w:p>
        </w:tc>
      </w:tr>
      <w:tr w:rsidR="00260518">
        <w:trPr>
          <w:trHeight w:val="155"/>
        </w:trPr>
        <w:tc>
          <w:tcPr>
            <w:tcW w:w="9356" w:type="dxa"/>
            <w:shd w:val="clear" w:color="auto" w:fill="auto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6051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6051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26051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051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60518" w:rsidRDefault="00FB1D61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</w:t>
            </w:r>
            <w:r>
              <w:rPr>
                <w:i/>
                <w:color w:val="000000"/>
                <w:sz w:val="28"/>
                <w:szCs w:val="28"/>
              </w:rPr>
              <w:t>улирующего воздействия</w:t>
            </w:r>
          </w:p>
        </w:tc>
      </w:tr>
      <w:tr w:rsidR="0026051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60518" w:rsidRDefault="0026051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60518" w:rsidRDefault="00260518">
      <w:pPr>
        <w:rPr>
          <w:sz w:val="28"/>
          <w:szCs w:val="28"/>
        </w:rPr>
      </w:pPr>
    </w:p>
    <w:sectPr w:rsidR="0026051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18" w:rsidRDefault="00FB1D61">
      <w:r>
        <w:separator/>
      </w:r>
    </w:p>
  </w:endnote>
  <w:endnote w:type="continuationSeparator" w:id="0">
    <w:p w:rsidR="00260518" w:rsidRDefault="00FB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18" w:rsidRDefault="00FB1D61">
      <w:r>
        <w:separator/>
      </w:r>
    </w:p>
  </w:footnote>
  <w:footnote w:type="continuationSeparator" w:id="0">
    <w:p w:rsidR="00260518" w:rsidRDefault="00FB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30456"/>
      <w:docPartObj>
        <w:docPartGallery w:val="Page Numbers (Top of Page)"/>
        <w:docPartUnique/>
      </w:docPartObj>
    </w:sdtPr>
    <w:sdtEndPr/>
    <w:sdtContent>
      <w:p w:rsidR="00260518" w:rsidRDefault="00FB1D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60518" w:rsidRDefault="0026051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4878"/>
    <w:multiLevelType w:val="hybridMultilevel"/>
    <w:tmpl w:val="CC2C4B52"/>
    <w:lvl w:ilvl="0" w:tplc="DF8C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0486">
      <w:start w:val="1"/>
      <w:numFmt w:val="lowerLetter"/>
      <w:lvlText w:val="%2."/>
      <w:lvlJc w:val="left"/>
      <w:pPr>
        <w:ind w:left="1440" w:hanging="360"/>
      </w:pPr>
    </w:lvl>
    <w:lvl w:ilvl="2" w:tplc="E7146ED4">
      <w:start w:val="1"/>
      <w:numFmt w:val="lowerRoman"/>
      <w:lvlText w:val="%3."/>
      <w:lvlJc w:val="right"/>
      <w:pPr>
        <w:ind w:left="2160" w:hanging="180"/>
      </w:pPr>
    </w:lvl>
    <w:lvl w:ilvl="3" w:tplc="240E8A66">
      <w:start w:val="1"/>
      <w:numFmt w:val="decimal"/>
      <w:lvlText w:val="%4."/>
      <w:lvlJc w:val="left"/>
      <w:pPr>
        <w:ind w:left="2880" w:hanging="360"/>
      </w:pPr>
    </w:lvl>
    <w:lvl w:ilvl="4" w:tplc="ED3240DC">
      <w:start w:val="1"/>
      <w:numFmt w:val="lowerLetter"/>
      <w:lvlText w:val="%5."/>
      <w:lvlJc w:val="left"/>
      <w:pPr>
        <w:ind w:left="3600" w:hanging="360"/>
      </w:pPr>
    </w:lvl>
    <w:lvl w:ilvl="5" w:tplc="8CB6B5EA">
      <w:start w:val="1"/>
      <w:numFmt w:val="lowerRoman"/>
      <w:lvlText w:val="%6."/>
      <w:lvlJc w:val="right"/>
      <w:pPr>
        <w:ind w:left="4320" w:hanging="180"/>
      </w:pPr>
    </w:lvl>
    <w:lvl w:ilvl="6" w:tplc="4522AC6A">
      <w:start w:val="1"/>
      <w:numFmt w:val="decimal"/>
      <w:lvlText w:val="%7."/>
      <w:lvlJc w:val="left"/>
      <w:pPr>
        <w:ind w:left="5040" w:hanging="360"/>
      </w:pPr>
    </w:lvl>
    <w:lvl w:ilvl="7" w:tplc="D846ACDA">
      <w:start w:val="1"/>
      <w:numFmt w:val="lowerLetter"/>
      <w:lvlText w:val="%8."/>
      <w:lvlJc w:val="left"/>
      <w:pPr>
        <w:ind w:left="5760" w:hanging="360"/>
      </w:pPr>
    </w:lvl>
    <w:lvl w:ilvl="8" w:tplc="C57EF5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18"/>
    <w:rsid w:val="00260518"/>
    <w:rsid w:val="00F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8EC86-C17D-4DD0-BC5B-AF8E7FA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Heading">
    <w:name w:val="Heading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zn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Sichinskiy</dc:creator>
  <cp:lastModifiedBy>Плешков Владимир Дмитриевич</cp:lastModifiedBy>
  <cp:revision>2</cp:revision>
  <dcterms:created xsi:type="dcterms:W3CDTF">2024-03-29T04:31:00Z</dcterms:created>
  <dcterms:modified xsi:type="dcterms:W3CDTF">2024-03-29T04:31:00Z</dcterms:modified>
</cp:coreProperties>
</file>