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5E2A" w14:textId="77777777" w:rsidR="00DC1628" w:rsidRDefault="00DC1628" w:rsidP="00527456">
      <w:pPr>
        <w:widowControl w:val="0"/>
        <w:spacing w:after="0" w:line="240" w:lineRule="auto"/>
        <w:ind w:firstLine="709"/>
        <w:jc w:val="center"/>
        <w:outlineLvl w:val="0"/>
        <w:rPr>
          <w:rFonts w:ascii="Times New Roman" w:eastAsia="Times New Roman" w:hAnsi="Times New Roman" w:cs="Times New Roman"/>
          <w:b/>
          <w:bCs/>
          <w:sz w:val="28"/>
          <w:szCs w:val="28"/>
        </w:rPr>
      </w:pPr>
      <w:bookmarkStart w:id="0" w:name="_Toc354487729"/>
      <w:bookmarkStart w:id="1" w:name="_Toc385846342"/>
      <w:bookmarkStart w:id="2" w:name="_GoBack"/>
      <w:bookmarkEnd w:id="2"/>
    </w:p>
    <w:tbl>
      <w:tblPr>
        <w:tblStyle w:val="af6"/>
        <w:tblW w:w="0" w:type="auto"/>
        <w:tblLook w:val="04A0" w:firstRow="1" w:lastRow="0" w:firstColumn="1" w:lastColumn="0" w:noHBand="0" w:noVBand="1"/>
      </w:tblPr>
      <w:tblGrid>
        <w:gridCol w:w="10137"/>
      </w:tblGrid>
      <w:tr w:rsidR="00DC1628" w14:paraId="263DA3E4" w14:textId="77777777" w:rsidTr="00DC1628">
        <w:tc>
          <w:tcPr>
            <w:tcW w:w="10137" w:type="dxa"/>
            <w:tcBorders>
              <w:top w:val="thinThickSmallGap" w:sz="24" w:space="0" w:color="auto"/>
              <w:left w:val="thinThickSmallGap" w:sz="24" w:space="0" w:color="auto"/>
              <w:bottom w:val="thinThickSmallGap" w:sz="24" w:space="0" w:color="auto"/>
              <w:right w:val="thinThickSmallGap" w:sz="24" w:space="0" w:color="auto"/>
            </w:tcBorders>
          </w:tcPr>
          <w:p w14:paraId="25C51B00" w14:textId="7EB4B93B" w:rsidR="00DC1628" w:rsidRDefault="00DC1628" w:rsidP="00527456">
            <w:pPr>
              <w:widowControl w:val="0"/>
              <w:jc w:val="center"/>
              <w:outlineLvl w:val="0"/>
              <w:rPr>
                <w:rFonts w:ascii="Times New Roman" w:eastAsia="Times New Roman" w:hAnsi="Times New Roman" w:cs="Times New Roman"/>
                <w:b/>
                <w:bCs/>
                <w:sz w:val="28"/>
                <w:szCs w:val="28"/>
              </w:rPr>
            </w:pPr>
          </w:p>
          <w:p w14:paraId="76331194" w14:textId="34D335CD" w:rsidR="00FA45C2" w:rsidRDefault="00FA45C2" w:rsidP="005E0747">
            <w:pPr>
              <w:widowControl w:val="0"/>
              <w:jc w:val="right"/>
              <w:outlineLvl w:val="0"/>
              <w:rPr>
                <w:rFonts w:ascii="Times New Roman" w:eastAsia="Times New Roman" w:hAnsi="Times New Roman" w:cs="Times New Roman"/>
                <w:bCs/>
                <w:sz w:val="28"/>
                <w:szCs w:val="28"/>
              </w:rPr>
            </w:pPr>
          </w:p>
          <w:p w14:paraId="0BD715E0" w14:textId="10813749" w:rsidR="00FA45C2" w:rsidRPr="00FA45C2" w:rsidRDefault="00411905" w:rsidP="00FA45C2">
            <w:pPr>
              <w:widowControl w:val="0"/>
              <w:jc w:val="center"/>
              <w:outlineLvl w:val="0"/>
              <w:rPr>
                <w:rFonts w:ascii="Times New Roman" w:eastAsia="Times New Roman" w:hAnsi="Times New Roman" w:cs="Times New Roman"/>
                <w:bCs/>
                <w:sz w:val="28"/>
                <w:szCs w:val="28"/>
              </w:rPr>
            </w:pPr>
            <w:r>
              <w:rPr>
                <w:noProof/>
                <w:lang w:eastAsia="ru-RU"/>
              </w:rPr>
              <w:drawing>
                <wp:inline distT="0" distB="0" distL="0" distR="0" wp14:anchorId="4832A9A3" wp14:editId="5AA29BF1">
                  <wp:extent cx="612775" cy="638175"/>
                  <wp:effectExtent l="0" t="0" r="0" b="9525"/>
                  <wp:docPr id="3" name="Рисунок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638175"/>
                          </a:xfrm>
                          <a:prstGeom prst="rect">
                            <a:avLst/>
                          </a:prstGeom>
                          <a:noFill/>
                          <a:ln>
                            <a:noFill/>
                          </a:ln>
                        </pic:spPr>
                      </pic:pic>
                    </a:graphicData>
                  </a:graphic>
                </wp:inline>
              </w:drawing>
            </w:r>
          </w:p>
          <w:p w14:paraId="572DFF8F" w14:textId="77777777" w:rsidR="00DC1628" w:rsidRDefault="00DC1628" w:rsidP="00DC1628">
            <w:pPr>
              <w:widowControl w:val="0"/>
              <w:jc w:val="center"/>
              <w:outlineLvl w:val="0"/>
              <w:rPr>
                <w:rFonts w:ascii="Times New Roman" w:eastAsia="Times New Roman" w:hAnsi="Times New Roman" w:cs="Times New Roman"/>
                <w:bCs/>
                <w:sz w:val="72"/>
                <w:szCs w:val="72"/>
              </w:rPr>
            </w:pPr>
          </w:p>
          <w:p w14:paraId="5A0787CB" w14:textId="77777777" w:rsidR="00411905" w:rsidRDefault="00411905" w:rsidP="00DC1628">
            <w:pPr>
              <w:widowControl w:val="0"/>
              <w:jc w:val="center"/>
              <w:outlineLvl w:val="0"/>
              <w:rPr>
                <w:rFonts w:ascii="Times New Roman" w:eastAsia="Times New Roman" w:hAnsi="Times New Roman" w:cs="Times New Roman"/>
                <w:bCs/>
                <w:sz w:val="72"/>
                <w:szCs w:val="72"/>
              </w:rPr>
            </w:pPr>
          </w:p>
          <w:p w14:paraId="5F64772D" w14:textId="77777777" w:rsidR="00DC1628" w:rsidRPr="00DC1628" w:rsidRDefault="00DC1628" w:rsidP="00DC1628">
            <w:pPr>
              <w:widowControl w:val="0"/>
              <w:jc w:val="center"/>
              <w:outlineLvl w:val="0"/>
              <w:rPr>
                <w:rFonts w:ascii="Times New Roman" w:eastAsia="Times New Roman" w:hAnsi="Times New Roman" w:cs="Times New Roman"/>
                <w:b/>
                <w:bCs/>
                <w:i/>
                <w:sz w:val="52"/>
                <w:szCs w:val="52"/>
              </w:rPr>
            </w:pPr>
            <w:r w:rsidRPr="00DC1628">
              <w:rPr>
                <w:rFonts w:ascii="Times New Roman" w:eastAsia="Times New Roman" w:hAnsi="Times New Roman" w:cs="Times New Roman"/>
                <w:b/>
                <w:bCs/>
                <w:i/>
                <w:sz w:val="52"/>
                <w:szCs w:val="52"/>
              </w:rPr>
              <w:t>Доклад</w:t>
            </w:r>
          </w:p>
          <w:p w14:paraId="2C3CCFBE" w14:textId="77777777" w:rsidR="00DC1628" w:rsidRP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Главы городского округа</w:t>
            </w:r>
          </w:p>
          <w:p w14:paraId="71E1E5D7" w14:textId="77777777" w:rsid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 xml:space="preserve">город Ханты-Мансийск </w:t>
            </w:r>
          </w:p>
          <w:p w14:paraId="29A9C698" w14:textId="06D160F0" w:rsid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о достиг</w:t>
            </w:r>
            <w:r>
              <w:rPr>
                <w:rFonts w:ascii="Times New Roman" w:hAnsi="Times New Roman" w:cs="Times New Roman"/>
                <w:b/>
                <w:i/>
                <w:sz w:val="52"/>
                <w:szCs w:val="52"/>
              </w:rPr>
              <w:t xml:space="preserve">нутых значениях показателей для </w:t>
            </w:r>
            <w:r w:rsidRPr="00DC1628">
              <w:rPr>
                <w:rFonts w:ascii="Times New Roman" w:hAnsi="Times New Roman" w:cs="Times New Roman"/>
                <w:b/>
                <w:i/>
                <w:sz w:val="52"/>
                <w:szCs w:val="52"/>
              </w:rPr>
              <w:t>оценки эффективности деятельности органов местного самоуправления за 2016 год и их планируемых значениях на 3-летний период</w:t>
            </w:r>
          </w:p>
          <w:p w14:paraId="0694CA8B" w14:textId="77777777" w:rsidR="00FA45C2" w:rsidRDefault="00FA45C2" w:rsidP="00DC1628">
            <w:pPr>
              <w:jc w:val="center"/>
              <w:rPr>
                <w:rFonts w:ascii="Times New Roman" w:hAnsi="Times New Roman" w:cs="Times New Roman"/>
                <w:b/>
                <w:i/>
                <w:sz w:val="52"/>
                <w:szCs w:val="52"/>
              </w:rPr>
            </w:pPr>
          </w:p>
          <w:p w14:paraId="71347235" w14:textId="77777777" w:rsidR="00DC1628" w:rsidRPr="00DC1628" w:rsidRDefault="00DC1628" w:rsidP="00DC1628">
            <w:pPr>
              <w:widowControl w:val="0"/>
              <w:jc w:val="center"/>
              <w:outlineLvl w:val="0"/>
              <w:rPr>
                <w:rFonts w:ascii="Times New Roman" w:eastAsia="Times New Roman" w:hAnsi="Times New Roman" w:cs="Times New Roman"/>
                <w:b/>
                <w:bCs/>
                <w:i/>
                <w:sz w:val="72"/>
                <w:szCs w:val="72"/>
                <w:highlight w:val="yellow"/>
                <w:lang w:eastAsia="x-none"/>
              </w:rPr>
            </w:pPr>
          </w:p>
          <w:p w14:paraId="3D9D6589" w14:textId="77777777" w:rsidR="00DC1628" w:rsidRDefault="00DC1628" w:rsidP="00DC1628">
            <w:pPr>
              <w:widowControl w:val="0"/>
              <w:jc w:val="center"/>
              <w:outlineLvl w:val="0"/>
              <w:rPr>
                <w:rFonts w:ascii="Times New Roman" w:eastAsia="Times New Roman" w:hAnsi="Times New Roman" w:cs="Times New Roman"/>
                <w:b/>
                <w:bCs/>
                <w:sz w:val="72"/>
                <w:szCs w:val="72"/>
              </w:rPr>
            </w:pPr>
          </w:p>
          <w:p w14:paraId="2B456290" w14:textId="77777777" w:rsidR="00411905" w:rsidRDefault="00411905" w:rsidP="00DC1628">
            <w:pPr>
              <w:widowControl w:val="0"/>
              <w:jc w:val="center"/>
              <w:outlineLvl w:val="0"/>
              <w:rPr>
                <w:rFonts w:ascii="Times New Roman" w:eastAsia="Times New Roman" w:hAnsi="Times New Roman" w:cs="Times New Roman"/>
                <w:b/>
                <w:bCs/>
                <w:sz w:val="72"/>
                <w:szCs w:val="72"/>
              </w:rPr>
            </w:pPr>
          </w:p>
          <w:p w14:paraId="5A4D056B" w14:textId="77777777" w:rsidR="00DC1628" w:rsidRDefault="00DC1628" w:rsidP="00DC1628">
            <w:pPr>
              <w:widowControl w:val="0"/>
              <w:jc w:val="center"/>
              <w:outlineLvl w:val="0"/>
              <w:rPr>
                <w:rFonts w:ascii="Times New Roman" w:eastAsia="Times New Roman" w:hAnsi="Times New Roman" w:cs="Times New Roman"/>
                <w:b/>
                <w:bCs/>
                <w:sz w:val="28"/>
                <w:szCs w:val="28"/>
              </w:rPr>
            </w:pPr>
          </w:p>
          <w:p w14:paraId="2C77EC71" w14:textId="25C3D470" w:rsidR="005E0747" w:rsidRPr="00FA45C2" w:rsidRDefault="005E0747" w:rsidP="005E0747">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_____________/Н.А. Дунаевская/</w:t>
            </w:r>
          </w:p>
          <w:p w14:paraId="0FB67BD4" w14:textId="77777777" w:rsidR="005E0747" w:rsidRPr="00FA45C2" w:rsidRDefault="005E0747" w:rsidP="005E0747">
            <w:pPr>
              <w:widowControl w:val="0"/>
              <w:jc w:val="right"/>
              <w:outlineLvl w:val="0"/>
              <w:rPr>
                <w:rFonts w:ascii="Times New Roman" w:eastAsia="Times New Roman" w:hAnsi="Times New Roman" w:cs="Times New Roman"/>
                <w:bCs/>
                <w:sz w:val="28"/>
                <w:szCs w:val="28"/>
              </w:rPr>
            </w:pPr>
            <w:r w:rsidRPr="00FA45C2">
              <w:rPr>
                <w:rFonts w:ascii="Times New Roman" w:eastAsia="Times New Roman" w:hAnsi="Times New Roman" w:cs="Times New Roman"/>
                <w:bCs/>
                <w:sz w:val="28"/>
                <w:szCs w:val="28"/>
              </w:rPr>
              <w:t>Исполняющий полномочия</w:t>
            </w:r>
          </w:p>
          <w:p w14:paraId="66B92025" w14:textId="77777777" w:rsidR="005E0747" w:rsidRPr="00FA45C2" w:rsidRDefault="005E0747" w:rsidP="005E0747">
            <w:pPr>
              <w:widowControl w:val="0"/>
              <w:jc w:val="right"/>
              <w:outlineLvl w:val="0"/>
              <w:rPr>
                <w:rFonts w:ascii="Times New Roman" w:eastAsia="Times New Roman" w:hAnsi="Times New Roman" w:cs="Times New Roman"/>
                <w:bCs/>
                <w:sz w:val="28"/>
                <w:szCs w:val="28"/>
              </w:rPr>
            </w:pPr>
            <w:r w:rsidRPr="00FA45C2">
              <w:rPr>
                <w:rFonts w:ascii="Times New Roman" w:eastAsia="Times New Roman" w:hAnsi="Times New Roman" w:cs="Times New Roman"/>
                <w:bCs/>
                <w:sz w:val="28"/>
                <w:szCs w:val="28"/>
              </w:rPr>
              <w:t>Главы города Ханты-Мансийска</w:t>
            </w:r>
          </w:p>
          <w:p w14:paraId="67132B1E" w14:textId="2C7F8F35" w:rsidR="005E0747" w:rsidRDefault="005E0747" w:rsidP="005E0747">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Pr="00FA45C2">
              <w:rPr>
                <w:rFonts w:ascii="Times New Roman" w:eastAsia="Times New Roman" w:hAnsi="Times New Roman" w:cs="Times New Roman"/>
                <w:bCs/>
                <w:sz w:val="28"/>
                <w:szCs w:val="28"/>
              </w:rPr>
              <w:t>» апреля 2017 г.</w:t>
            </w:r>
          </w:p>
          <w:p w14:paraId="4110889A" w14:textId="0A7474B2" w:rsidR="00DC1628" w:rsidRDefault="00DC1628" w:rsidP="00DC1628">
            <w:pPr>
              <w:widowControl w:val="0"/>
              <w:jc w:val="center"/>
              <w:outlineLvl w:val="0"/>
              <w:rPr>
                <w:rFonts w:ascii="Times New Roman" w:eastAsia="Times New Roman" w:hAnsi="Times New Roman" w:cs="Times New Roman"/>
                <w:b/>
                <w:bCs/>
                <w:sz w:val="28"/>
                <w:szCs w:val="28"/>
              </w:rPr>
            </w:pPr>
          </w:p>
          <w:p w14:paraId="736B2E73" w14:textId="77777777" w:rsidR="00DC1628" w:rsidRDefault="00DC1628" w:rsidP="00527456">
            <w:pPr>
              <w:widowControl w:val="0"/>
              <w:jc w:val="center"/>
              <w:outlineLvl w:val="0"/>
              <w:rPr>
                <w:rFonts w:ascii="Times New Roman" w:eastAsia="Times New Roman" w:hAnsi="Times New Roman" w:cs="Times New Roman"/>
                <w:b/>
                <w:bCs/>
                <w:sz w:val="28"/>
                <w:szCs w:val="28"/>
              </w:rPr>
            </w:pPr>
          </w:p>
          <w:p w14:paraId="35F8D62F" w14:textId="77777777" w:rsidR="00DC1628" w:rsidRDefault="00DC1628" w:rsidP="00527456">
            <w:pPr>
              <w:widowControl w:val="0"/>
              <w:jc w:val="center"/>
              <w:outlineLvl w:val="0"/>
              <w:rPr>
                <w:rFonts w:ascii="Times New Roman" w:eastAsia="Times New Roman" w:hAnsi="Times New Roman" w:cs="Times New Roman"/>
                <w:b/>
                <w:bCs/>
                <w:sz w:val="28"/>
                <w:szCs w:val="28"/>
              </w:rPr>
            </w:pPr>
          </w:p>
        </w:tc>
      </w:tr>
    </w:tbl>
    <w:p w14:paraId="4B8E2927" w14:textId="77777777" w:rsidR="00DC1628" w:rsidRDefault="00DC1628"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3650F20E" w14:textId="77777777" w:rsidR="00FA45C2" w:rsidRDefault="00FA45C2"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1B301664" w14:textId="77777777" w:rsidR="00FA45C2" w:rsidRDefault="00FA45C2"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266E1B1C" w14:textId="77777777" w:rsidR="00EB4435" w:rsidRPr="00FE0342" w:rsidRDefault="00EB4435" w:rsidP="00527456">
      <w:pPr>
        <w:widowControl w:val="0"/>
        <w:spacing w:after="0" w:line="240" w:lineRule="auto"/>
        <w:ind w:firstLine="709"/>
        <w:jc w:val="center"/>
        <w:outlineLvl w:val="0"/>
        <w:rPr>
          <w:rFonts w:ascii="Times New Roman" w:eastAsia="Times New Roman" w:hAnsi="Times New Roman" w:cs="Times New Roman"/>
          <w:b/>
          <w:bCs/>
          <w:sz w:val="28"/>
          <w:szCs w:val="28"/>
        </w:rPr>
      </w:pPr>
      <w:r w:rsidRPr="00FE0342">
        <w:rPr>
          <w:rFonts w:ascii="Times New Roman" w:eastAsia="Times New Roman" w:hAnsi="Times New Roman" w:cs="Times New Roman"/>
          <w:b/>
          <w:bCs/>
          <w:sz w:val="28"/>
          <w:szCs w:val="28"/>
        </w:rPr>
        <w:t>Доклад</w:t>
      </w:r>
    </w:p>
    <w:p w14:paraId="6912C9A0" w14:textId="1BFDA2CE"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Главы городского округа</w:t>
      </w:r>
    </w:p>
    <w:p w14:paraId="10CDF1C5" w14:textId="77777777"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город Ханты-Мансийск о достигнутых значениях показателей для</w:t>
      </w:r>
    </w:p>
    <w:p w14:paraId="47C0C298" w14:textId="77777777"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оценки эффективности деятельности органов местного самоуправления за 201</w:t>
      </w:r>
      <w:r w:rsidR="00A07D99">
        <w:rPr>
          <w:rFonts w:ascii="Times New Roman" w:hAnsi="Times New Roman" w:cs="Times New Roman"/>
          <w:b/>
          <w:sz w:val="28"/>
          <w:szCs w:val="28"/>
        </w:rPr>
        <w:t>6</w:t>
      </w:r>
      <w:r w:rsidRPr="00FE0342">
        <w:rPr>
          <w:rFonts w:ascii="Times New Roman" w:hAnsi="Times New Roman" w:cs="Times New Roman"/>
          <w:b/>
          <w:sz w:val="28"/>
          <w:szCs w:val="28"/>
        </w:rPr>
        <w:t xml:space="preserve"> год и их планируемых значениях на 3-летний период</w:t>
      </w:r>
    </w:p>
    <w:p w14:paraId="48F62B9E" w14:textId="77777777" w:rsidR="00EB4435" w:rsidRPr="00FC133B" w:rsidRDefault="00EB4435" w:rsidP="00527456">
      <w:pPr>
        <w:widowControl w:val="0"/>
        <w:spacing w:after="0" w:line="240" w:lineRule="auto"/>
        <w:ind w:firstLine="709"/>
        <w:jc w:val="center"/>
        <w:outlineLvl w:val="0"/>
        <w:rPr>
          <w:rFonts w:ascii="Times New Roman" w:eastAsia="Times New Roman" w:hAnsi="Times New Roman" w:cs="Times New Roman"/>
          <w:b/>
          <w:bCs/>
          <w:sz w:val="28"/>
          <w:szCs w:val="28"/>
          <w:highlight w:val="yellow"/>
          <w:lang w:eastAsia="x-none"/>
        </w:rPr>
      </w:pPr>
    </w:p>
    <w:p w14:paraId="26F4238B" w14:textId="77777777" w:rsidR="001D38A9" w:rsidRPr="0013502F" w:rsidRDefault="001D38A9" w:rsidP="00527456">
      <w:pPr>
        <w:widowControl w:val="0"/>
        <w:spacing w:after="0" w:line="240" w:lineRule="auto"/>
        <w:ind w:firstLine="709"/>
        <w:jc w:val="center"/>
        <w:outlineLvl w:val="0"/>
        <w:rPr>
          <w:rFonts w:ascii="Times New Roman" w:eastAsia="Times New Roman" w:hAnsi="Times New Roman" w:cs="Times New Roman"/>
          <w:b/>
          <w:bCs/>
          <w:sz w:val="28"/>
          <w:szCs w:val="28"/>
          <w:lang w:eastAsia="x-none"/>
        </w:rPr>
      </w:pPr>
      <w:bookmarkStart w:id="3" w:name="_Toc416735660"/>
      <w:r w:rsidRPr="0013502F">
        <w:rPr>
          <w:rFonts w:ascii="Times New Roman" w:eastAsia="Times New Roman" w:hAnsi="Times New Roman" w:cs="Times New Roman"/>
          <w:b/>
          <w:bCs/>
          <w:sz w:val="28"/>
          <w:szCs w:val="28"/>
          <w:lang w:val="en-US" w:eastAsia="x-none"/>
        </w:rPr>
        <w:t>I</w:t>
      </w:r>
      <w:r w:rsidRPr="0013502F">
        <w:rPr>
          <w:rFonts w:ascii="Times New Roman" w:eastAsia="Times New Roman" w:hAnsi="Times New Roman" w:cs="Times New Roman"/>
          <w:b/>
          <w:bCs/>
          <w:sz w:val="28"/>
          <w:szCs w:val="28"/>
          <w:lang w:val="x-none" w:eastAsia="x-none"/>
        </w:rPr>
        <w:t>.</w:t>
      </w:r>
      <w:r w:rsidRPr="0013502F">
        <w:rPr>
          <w:rFonts w:ascii="Times New Roman" w:eastAsia="Times New Roman" w:hAnsi="Times New Roman" w:cs="Times New Roman"/>
          <w:b/>
          <w:bCs/>
          <w:sz w:val="28"/>
          <w:szCs w:val="28"/>
          <w:lang w:val="x-none" w:eastAsia="x-none"/>
        </w:rPr>
        <w:tab/>
        <w:t xml:space="preserve">Основные </w:t>
      </w:r>
      <w:r w:rsidR="0079738C" w:rsidRPr="0013502F">
        <w:rPr>
          <w:rFonts w:ascii="Times New Roman" w:eastAsia="Times New Roman" w:hAnsi="Times New Roman" w:cs="Times New Roman"/>
          <w:b/>
          <w:bCs/>
          <w:sz w:val="28"/>
          <w:szCs w:val="28"/>
          <w:lang w:eastAsia="x-none"/>
        </w:rPr>
        <w:t>итоги социально-экономического развития</w:t>
      </w:r>
      <w:r w:rsidRPr="0013502F">
        <w:rPr>
          <w:rFonts w:ascii="Times New Roman" w:eastAsia="Times New Roman" w:hAnsi="Times New Roman" w:cs="Times New Roman"/>
          <w:b/>
          <w:bCs/>
          <w:sz w:val="28"/>
          <w:szCs w:val="28"/>
          <w:lang w:val="x-none" w:eastAsia="x-none"/>
        </w:rPr>
        <w:t xml:space="preserve"> города Ханты-Мансийска за 201</w:t>
      </w:r>
      <w:r w:rsidR="00137E44" w:rsidRPr="0013502F">
        <w:rPr>
          <w:rFonts w:ascii="Times New Roman" w:eastAsia="Times New Roman" w:hAnsi="Times New Roman" w:cs="Times New Roman"/>
          <w:b/>
          <w:bCs/>
          <w:sz w:val="28"/>
          <w:szCs w:val="28"/>
          <w:lang w:eastAsia="x-none"/>
        </w:rPr>
        <w:t>6</w:t>
      </w:r>
      <w:r w:rsidRPr="0013502F">
        <w:rPr>
          <w:rFonts w:ascii="Times New Roman" w:eastAsia="Times New Roman" w:hAnsi="Times New Roman" w:cs="Times New Roman"/>
          <w:b/>
          <w:bCs/>
          <w:sz w:val="28"/>
          <w:szCs w:val="28"/>
          <w:lang w:val="x-none" w:eastAsia="x-none"/>
        </w:rPr>
        <w:t xml:space="preserve"> год</w:t>
      </w:r>
      <w:bookmarkEnd w:id="3"/>
    </w:p>
    <w:p w14:paraId="7F04487C" w14:textId="77777777" w:rsidR="0079738C" w:rsidRPr="0013502F" w:rsidRDefault="0079738C" w:rsidP="00527456">
      <w:pPr>
        <w:widowControl w:val="0"/>
        <w:spacing w:after="0" w:line="240" w:lineRule="auto"/>
        <w:ind w:firstLine="709"/>
        <w:jc w:val="center"/>
        <w:outlineLvl w:val="0"/>
        <w:rPr>
          <w:rFonts w:ascii="Times New Roman" w:eastAsia="Times New Roman" w:hAnsi="Times New Roman" w:cs="Times New Roman"/>
          <w:b/>
          <w:bCs/>
          <w:sz w:val="28"/>
          <w:szCs w:val="28"/>
          <w:lang w:eastAsia="x-none"/>
        </w:rPr>
      </w:pPr>
    </w:p>
    <w:p w14:paraId="625DB7B4" w14:textId="08EEBCCB" w:rsidR="00137E44" w:rsidRPr="0013502F" w:rsidRDefault="00137E44"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Итоги  социально-экономического развития  Ханты-Мансийска в 2016 году в целом свидетельствуют о сохранении финансовой, экономической и социальной стабильности</w:t>
      </w:r>
      <w:r w:rsidRPr="007D3796">
        <w:rPr>
          <w:rFonts w:ascii="Times New Roman" w:eastAsia="Calibri" w:hAnsi="Times New Roman" w:cs="Times New Roman"/>
          <w:sz w:val="28"/>
          <w:szCs w:val="28"/>
        </w:rPr>
        <w:t>, развитии инвестиционных условий, в том числе для среднего и малого бизнеса.</w:t>
      </w:r>
      <w:r w:rsidRPr="0013502F">
        <w:rPr>
          <w:rFonts w:ascii="Times New Roman" w:eastAsia="Calibri" w:hAnsi="Times New Roman" w:cs="Times New Roman"/>
          <w:sz w:val="28"/>
          <w:szCs w:val="28"/>
        </w:rPr>
        <w:t xml:space="preserve">  </w:t>
      </w:r>
    </w:p>
    <w:p w14:paraId="405D5B91" w14:textId="77777777" w:rsidR="00137E44" w:rsidRPr="0013502F" w:rsidRDefault="00137E44"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Основные показатели, характеризующие социально-экономическое положение, демонстрируют положительную динамику.</w:t>
      </w:r>
    </w:p>
    <w:p w14:paraId="588EA816" w14:textId="77777777" w:rsidR="001D38A9" w:rsidRPr="0013502F" w:rsidRDefault="001D38A9" w:rsidP="0052745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3D328BC"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Демографическая ситуация</w:t>
      </w:r>
    </w:p>
    <w:p w14:paraId="06CE9ED9" w14:textId="77777777" w:rsidR="00C51049" w:rsidRPr="0013502F" w:rsidRDefault="00C51049"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B0A9B2" w14:textId="753B3F1D" w:rsidR="0030254B" w:rsidRPr="0013502F" w:rsidRDefault="0030254B"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Город Ханты-Мансийск входит в пятерку самых крупных по численности населения муниципальных образований</w:t>
      </w:r>
      <w:r w:rsidR="007576D2">
        <w:rPr>
          <w:rFonts w:ascii="Times New Roman" w:eastAsia="Times New Roman" w:hAnsi="Times New Roman" w:cs="Times New Roman"/>
          <w:sz w:val="28"/>
          <w:szCs w:val="28"/>
          <w:lang w:eastAsia="ru-RU"/>
        </w:rPr>
        <w:t xml:space="preserve"> Ханты-Мансийского автономного </w:t>
      </w:r>
      <w:r w:rsidRPr="0013502F">
        <w:rPr>
          <w:rFonts w:ascii="Times New Roman" w:eastAsia="Times New Roman" w:hAnsi="Times New Roman" w:cs="Times New Roman"/>
          <w:sz w:val="28"/>
          <w:szCs w:val="28"/>
          <w:lang w:eastAsia="ru-RU"/>
        </w:rPr>
        <w:t>округа - Югры. Среднегодовая числ</w:t>
      </w:r>
      <w:r w:rsidR="005E295E" w:rsidRPr="0013502F">
        <w:rPr>
          <w:rFonts w:ascii="Times New Roman" w:eastAsia="Times New Roman" w:hAnsi="Times New Roman" w:cs="Times New Roman"/>
          <w:sz w:val="28"/>
          <w:szCs w:val="28"/>
          <w:lang w:eastAsia="ru-RU"/>
        </w:rPr>
        <w:t>енность населения города за 2016</w:t>
      </w:r>
      <w:r w:rsidRPr="0013502F">
        <w:rPr>
          <w:rFonts w:ascii="Times New Roman" w:eastAsia="Times New Roman" w:hAnsi="Times New Roman" w:cs="Times New Roman"/>
          <w:sz w:val="28"/>
          <w:szCs w:val="28"/>
          <w:lang w:eastAsia="ru-RU"/>
        </w:rPr>
        <w:t xml:space="preserve"> год составила </w:t>
      </w:r>
      <w:r w:rsidR="005E295E" w:rsidRPr="0013502F">
        <w:rPr>
          <w:rFonts w:ascii="Times New Roman" w:eastAsia="Times New Roman" w:hAnsi="Times New Roman" w:cs="Times New Roman"/>
          <w:sz w:val="28"/>
          <w:szCs w:val="28"/>
          <w:lang w:eastAsia="ru-RU"/>
        </w:rPr>
        <w:t>97,9</w:t>
      </w:r>
      <w:r w:rsidR="001B791F">
        <w:rPr>
          <w:rFonts w:ascii="Times New Roman" w:eastAsia="Times New Roman" w:hAnsi="Times New Roman" w:cs="Times New Roman"/>
          <w:sz w:val="28"/>
          <w:szCs w:val="28"/>
          <w:lang w:eastAsia="ru-RU"/>
        </w:rPr>
        <w:t xml:space="preserve"> </w:t>
      </w:r>
      <w:r w:rsidR="00A4720E" w:rsidRPr="00A4720E">
        <w:rPr>
          <w:rFonts w:ascii="Times New Roman" w:eastAsia="Times New Roman" w:hAnsi="Times New Roman" w:cs="Times New Roman"/>
          <w:sz w:val="28"/>
          <w:szCs w:val="28"/>
          <w:lang w:eastAsia="ru-RU"/>
        </w:rPr>
        <w:t>тысяч</w:t>
      </w:r>
      <w:r w:rsidRPr="00A4720E">
        <w:rPr>
          <w:rFonts w:ascii="Times New Roman" w:eastAsia="Times New Roman" w:hAnsi="Times New Roman" w:cs="Times New Roman"/>
          <w:sz w:val="28"/>
          <w:szCs w:val="28"/>
          <w:lang w:eastAsia="ru-RU"/>
        </w:rPr>
        <w:t xml:space="preserve"> чел., </w:t>
      </w:r>
      <w:r w:rsidR="005E295E" w:rsidRPr="00A4720E">
        <w:rPr>
          <w:rFonts w:ascii="Times New Roman" w:eastAsia="Times New Roman" w:hAnsi="Times New Roman" w:cs="Times New Roman"/>
          <w:sz w:val="28"/>
          <w:szCs w:val="28"/>
          <w:lang w:eastAsia="ru-RU"/>
        </w:rPr>
        <w:t>увеличившись по сравнению с 2015</w:t>
      </w:r>
      <w:r w:rsidRPr="00A4720E">
        <w:rPr>
          <w:rFonts w:ascii="Times New Roman" w:eastAsia="Times New Roman" w:hAnsi="Times New Roman" w:cs="Times New Roman"/>
          <w:sz w:val="28"/>
          <w:szCs w:val="28"/>
          <w:lang w:eastAsia="ru-RU"/>
        </w:rPr>
        <w:t xml:space="preserve"> годом на </w:t>
      </w:r>
      <w:r w:rsidR="000F4A28" w:rsidRPr="00A4720E">
        <w:rPr>
          <w:rFonts w:ascii="Times New Roman" w:eastAsia="Times New Roman" w:hAnsi="Times New Roman" w:cs="Times New Roman"/>
          <w:sz w:val="28"/>
          <w:szCs w:val="28"/>
          <w:lang w:eastAsia="ru-RU"/>
        </w:rPr>
        <w:t>1,8</w:t>
      </w:r>
      <w:r w:rsidR="001B791F" w:rsidRPr="00A4720E">
        <w:rPr>
          <w:rFonts w:ascii="Times New Roman" w:eastAsia="Times New Roman" w:hAnsi="Times New Roman" w:cs="Times New Roman"/>
          <w:sz w:val="28"/>
          <w:szCs w:val="28"/>
          <w:lang w:eastAsia="ru-RU"/>
        </w:rPr>
        <w:t xml:space="preserve"> </w:t>
      </w:r>
      <w:r w:rsidR="00A4720E" w:rsidRPr="00A4720E">
        <w:rPr>
          <w:rFonts w:ascii="Times New Roman" w:eastAsia="Times New Roman" w:hAnsi="Times New Roman" w:cs="Times New Roman"/>
          <w:sz w:val="28"/>
          <w:szCs w:val="28"/>
          <w:lang w:eastAsia="ru-RU"/>
        </w:rPr>
        <w:t>тысяч</w:t>
      </w:r>
      <w:r w:rsidR="001B791F" w:rsidRPr="00A4720E">
        <w:rPr>
          <w:rFonts w:ascii="Times New Roman" w:eastAsia="Times New Roman" w:hAnsi="Times New Roman" w:cs="Times New Roman"/>
          <w:sz w:val="28"/>
          <w:szCs w:val="28"/>
          <w:lang w:eastAsia="ru-RU"/>
        </w:rPr>
        <w:t xml:space="preserve"> чел.</w:t>
      </w:r>
    </w:p>
    <w:p w14:paraId="776AFAB6" w14:textId="7CF13763" w:rsidR="005E295E" w:rsidRPr="0013502F" w:rsidRDefault="005E295E" w:rsidP="00527456">
      <w:pPr>
        <w:widowControl w:val="0"/>
        <w:autoSpaceDE w:val="0"/>
        <w:autoSpaceDN w:val="0"/>
        <w:adjustRightInd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Основным фактором увеличения демографического потенциала города является положительный естественный прирост, значительное превышение показателя рождаемости над показателем смертности. Коэффициент рождаемости в 2016 году превышает показатель смертности более чем в 3 раза.</w:t>
      </w:r>
    </w:p>
    <w:p w14:paraId="749E356B" w14:textId="77777777" w:rsidR="00A4720E" w:rsidRDefault="00A4720E" w:rsidP="00527456">
      <w:pPr>
        <w:widowControl w:val="0"/>
        <w:autoSpaceDE w:val="0"/>
        <w:autoSpaceDN w:val="0"/>
        <w:adjustRightInd w:val="0"/>
        <w:spacing w:after="0" w:line="240" w:lineRule="auto"/>
        <w:ind w:right="142" w:firstLine="709"/>
        <w:jc w:val="right"/>
        <w:rPr>
          <w:rFonts w:ascii="Times New Roman" w:eastAsia="Times New Roman" w:hAnsi="Times New Roman" w:cs="Times New Roman"/>
          <w:sz w:val="28"/>
          <w:szCs w:val="28"/>
          <w:lang w:eastAsia="ru-RU"/>
        </w:rPr>
      </w:pPr>
    </w:p>
    <w:p w14:paraId="2F9B873E" w14:textId="03BFEAC5" w:rsidR="00A4720E" w:rsidRDefault="00A4720E" w:rsidP="00527456">
      <w:pPr>
        <w:widowControl w:val="0"/>
        <w:autoSpaceDE w:val="0"/>
        <w:autoSpaceDN w:val="0"/>
        <w:adjustRightInd w:val="0"/>
        <w:spacing w:after="0" w:line="240" w:lineRule="auto"/>
        <w:ind w:right="142"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E295E" w:rsidRPr="0013502F">
        <w:rPr>
          <w:rFonts w:ascii="Times New Roman" w:eastAsia="Times New Roman" w:hAnsi="Times New Roman" w:cs="Times New Roman"/>
          <w:sz w:val="28"/>
          <w:szCs w:val="28"/>
          <w:lang w:eastAsia="ru-RU"/>
        </w:rPr>
        <w:t>исунок</w:t>
      </w:r>
      <w:r w:rsidR="0030254B" w:rsidRPr="0013502F">
        <w:rPr>
          <w:rFonts w:ascii="Times New Roman" w:eastAsia="Times New Roman" w:hAnsi="Times New Roman" w:cs="Times New Roman"/>
          <w:sz w:val="28"/>
          <w:szCs w:val="28"/>
          <w:lang w:eastAsia="ru-RU"/>
        </w:rPr>
        <w:t xml:space="preserve"> 1</w:t>
      </w:r>
    </w:p>
    <w:p w14:paraId="236EEC33" w14:textId="77777777" w:rsidR="00A4720E" w:rsidRDefault="00A4720E" w:rsidP="00527456">
      <w:pPr>
        <w:widowControl w:val="0"/>
        <w:autoSpaceDE w:val="0"/>
        <w:autoSpaceDN w:val="0"/>
        <w:adjustRightInd w:val="0"/>
        <w:spacing w:after="0" w:line="240" w:lineRule="auto"/>
        <w:ind w:right="142" w:firstLine="709"/>
        <w:jc w:val="right"/>
        <w:rPr>
          <w:rFonts w:ascii="Times New Roman" w:eastAsia="Times New Roman" w:hAnsi="Times New Roman" w:cs="Times New Roman"/>
          <w:sz w:val="28"/>
          <w:szCs w:val="28"/>
          <w:lang w:eastAsia="ru-RU"/>
        </w:rPr>
      </w:pPr>
    </w:p>
    <w:p w14:paraId="427DA8E5" w14:textId="02E9D08C" w:rsidR="00A4720E" w:rsidRDefault="00A4720E" w:rsidP="00A4720E">
      <w:pPr>
        <w:widowControl w:val="0"/>
        <w:autoSpaceDE w:val="0"/>
        <w:autoSpaceDN w:val="0"/>
        <w:adjustRightInd w:val="0"/>
        <w:spacing w:after="0" w:line="240" w:lineRule="auto"/>
        <w:ind w:right="142" w:firstLine="709"/>
        <w:jc w:val="center"/>
        <w:rPr>
          <w:rFonts w:ascii="Times New Roman" w:eastAsia="Times New Roman" w:hAnsi="Times New Roman" w:cs="Times New Roman"/>
          <w:sz w:val="28"/>
          <w:szCs w:val="28"/>
          <w:lang w:eastAsia="ru-RU"/>
        </w:rPr>
      </w:pPr>
      <w:r>
        <w:rPr>
          <w:noProof/>
          <w:lang w:eastAsia="ru-RU"/>
        </w:rPr>
        <w:drawing>
          <wp:inline distT="0" distB="0" distL="0" distR="0" wp14:anchorId="5EF24FF1" wp14:editId="2F4BD24D">
            <wp:extent cx="5667375" cy="30670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BAAA0A" w14:textId="18F4516B" w:rsidR="0030254B" w:rsidRPr="0013502F" w:rsidRDefault="0030254B" w:rsidP="00527456">
      <w:pPr>
        <w:widowControl w:val="0"/>
        <w:autoSpaceDE w:val="0"/>
        <w:autoSpaceDN w:val="0"/>
        <w:adjustRightInd w:val="0"/>
        <w:spacing w:after="0" w:line="240" w:lineRule="auto"/>
        <w:ind w:right="142" w:firstLine="709"/>
        <w:jc w:val="right"/>
        <w:rPr>
          <w:rFonts w:ascii="Calibri" w:eastAsia="Calibri" w:hAnsi="Calibri" w:cs="Times New Roman"/>
        </w:rPr>
      </w:pPr>
    </w:p>
    <w:p w14:paraId="781A1626" w14:textId="77777777" w:rsidR="0030254B" w:rsidRPr="0013502F" w:rsidRDefault="0030254B" w:rsidP="00527456">
      <w:pPr>
        <w:widowControl w:val="0"/>
        <w:spacing w:after="0" w:line="240" w:lineRule="auto"/>
        <w:jc w:val="center"/>
        <w:rPr>
          <w:rFonts w:ascii="Times New Roman" w:eastAsia="Times New Roman" w:hAnsi="Times New Roman" w:cs="Times New Roman"/>
          <w:sz w:val="28"/>
          <w:szCs w:val="28"/>
          <w:lang w:eastAsia="ru-RU"/>
        </w:rPr>
      </w:pPr>
    </w:p>
    <w:p w14:paraId="1BD0ABD0" w14:textId="77777777" w:rsidR="005E295E" w:rsidRPr="0013502F" w:rsidRDefault="005E295E"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Calibri" w:hAnsi="Times New Roman" w:cs="Times New Roman"/>
          <w:sz w:val="28"/>
          <w:szCs w:val="28"/>
        </w:rPr>
        <w:t xml:space="preserve">Положительное влияние на развитие демографической ситуации в городе также оказывают миграционные процессы. По итогам </w:t>
      </w:r>
      <w:r w:rsidRPr="0013502F">
        <w:rPr>
          <w:rFonts w:ascii="Times New Roman" w:eastAsia="Times New Roman" w:hAnsi="Times New Roman" w:cs="Times New Roman"/>
          <w:sz w:val="28"/>
          <w:szCs w:val="28"/>
          <w:lang w:eastAsia="ru-RU"/>
        </w:rPr>
        <w:t>2016 года миграционный прирост составил 624 чел., что на 26% выше уровня 2015 года.</w:t>
      </w:r>
    </w:p>
    <w:p w14:paraId="2F5C15B8" w14:textId="77777777" w:rsidR="005E295E" w:rsidRPr="0013502F" w:rsidRDefault="005E295E" w:rsidP="00527456">
      <w:pPr>
        <w:widowControl w:val="0"/>
        <w:autoSpaceDE w:val="0"/>
        <w:autoSpaceDN w:val="0"/>
        <w:adjustRightInd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Средний возраст граждан составляет 32,8 года, что на 1,6 года моложе, чем средний возраст жителей Югры (34,4 года) и на 6,8 моложе, чем средний возраст россиян (39,6 лет). Средний возраст мужчин составляет 31,7 года (Югра – 33,2 года, Россия – 36,8 лет), средний возраст женщины составил 33,7 года (Югра – 35,6 лет, Россия – 42 года).</w:t>
      </w:r>
    </w:p>
    <w:p w14:paraId="7AB9EE6F" w14:textId="77777777" w:rsidR="005E295E" w:rsidRPr="0013502F" w:rsidRDefault="005E295E" w:rsidP="00527456">
      <w:pPr>
        <w:widowControl w:val="0"/>
        <w:autoSpaceDE w:val="0"/>
        <w:autoSpaceDN w:val="0"/>
        <w:adjustRightInd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Положительные результаты демографической ситуации, стабильное увеличение количества многодетных семей обусловлены принимаемыми мерами государственной и муниципальной социальной поддержки.  </w:t>
      </w:r>
    </w:p>
    <w:p w14:paraId="49FD1A2D" w14:textId="77777777" w:rsidR="00C51049" w:rsidRPr="0013502F" w:rsidRDefault="005E295E" w:rsidP="005274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в городе проживало 4225 многодетных семей (2015 году – 3810).</w:t>
      </w:r>
    </w:p>
    <w:p w14:paraId="6A628CA9" w14:textId="77777777" w:rsidR="00A45CB3" w:rsidRPr="0013502F" w:rsidRDefault="00A45CB3"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717356"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Промышленность</w:t>
      </w:r>
    </w:p>
    <w:p w14:paraId="45627C97" w14:textId="77777777" w:rsidR="005E295E" w:rsidRDefault="005E295E" w:rsidP="00527456">
      <w:pPr>
        <w:pStyle w:val="aa"/>
        <w:widowControl w:val="0"/>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p>
    <w:p w14:paraId="6CDB654B" w14:textId="68BB595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Общий объем промышленной продукции по крупным и средним предприятиям города за 2016 год составил 11994,2 млн. рублей, или 123,2% к 2015 году (9737,1 млн. рублей). </w:t>
      </w:r>
      <w:r w:rsidR="00CD1036">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 xml:space="preserve">Объемы производства за 2016 год по виду экономической деятельности «Производство и распределение электроэнергии газа и воды» составили 11238,6 млн. рублей, или 124,4% к 2015 году (9037,5 млн. рублей). </w:t>
      </w:r>
    </w:p>
    <w:p w14:paraId="573555E3" w14:textId="424C6DD0"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Индикатором развития промышленного сектора экономики является, индекс промышленного производства, который в сравнении с аналогичным периодом 2015 года достиг значения 107,4%. Объем отгруженных товаров, выполненных работ и услуг предприятиями обрабатывающей отрасли за 2016 год составил 545,2 млн. рублей, или 106,1% к 2015 году (514,0 млн. рублей). </w:t>
      </w:r>
      <w:r w:rsidR="00CD1036">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 xml:space="preserve">Обрабатывающие производства включают: производство пищевых продуктов, целлюлозно-бумажное производство, издательскую и полиграфическую деятельность, производство прочих неметаллических минеральных продуктов (производство бетона, плитки тротуарной и кирпича), текстильное и швейное производство. </w:t>
      </w:r>
    </w:p>
    <w:p w14:paraId="342CCF90" w14:textId="77777777" w:rsidR="005E295E" w:rsidRPr="0013502F" w:rsidRDefault="005E295E" w:rsidP="00527456">
      <w:pPr>
        <w:widowControl w:val="0"/>
        <w:spacing w:after="0" w:line="240" w:lineRule="auto"/>
        <w:ind w:firstLine="709"/>
        <w:jc w:val="right"/>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Рисунок 2</w:t>
      </w:r>
    </w:p>
    <w:p w14:paraId="3623A8F2" w14:textId="7777777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lastRenderedPageBreak/>
        <w:t xml:space="preserve"> </w:t>
      </w:r>
      <w:r w:rsidRPr="0013502F">
        <w:rPr>
          <w:rFonts w:ascii="Times New Roman" w:eastAsia="Times New Roman" w:hAnsi="Times New Roman"/>
          <w:i/>
          <w:noProof/>
          <w:sz w:val="28"/>
          <w:szCs w:val="28"/>
          <w:lang w:eastAsia="ru-RU"/>
        </w:rPr>
        <w:drawing>
          <wp:inline distT="0" distB="0" distL="0" distR="0" wp14:anchorId="0605CD2E" wp14:editId="0A14646D">
            <wp:extent cx="5034578" cy="2700170"/>
            <wp:effectExtent l="0" t="0" r="0" b="508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A57ABD" w14:textId="77777777" w:rsidR="00A45CB3" w:rsidRDefault="00A45CB3" w:rsidP="00527456">
      <w:pPr>
        <w:widowControl w:val="0"/>
        <w:spacing w:after="0" w:line="240" w:lineRule="auto"/>
        <w:ind w:firstLine="709"/>
        <w:jc w:val="both"/>
        <w:rPr>
          <w:rFonts w:ascii="Times New Roman" w:eastAsia="Times New Roman" w:hAnsi="Times New Roman" w:cs="Times New Roman"/>
          <w:sz w:val="28"/>
          <w:szCs w:val="28"/>
          <w:lang w:eastAsia="ru-RU"/>
        </w:rPr>
      </w:pPr>
    </w:p>
    <w:p w14:paraId="11151965" w14:textId="7777777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По виду деятельности «Рыболовство, рыбоводство» за 2016 год объемы производства и оказанных услуг составили 210,4 млн. рублей или 217,8% к 2015 году (96,6 млн. рублей). Основным представителем отрасли «Рыболовство, рыбоводство» среди крупных и средних предприятий является ОАО «Рыбокомбинат «Ханты-Мансийский», доля которого в общем объеме промышленного производства за 2016 год составила 1,1% (2015 год – 1,0%). Объемы производства и оказанных услуг составили 128,2 млн. рублей или 132,8% к 2015 году (96,5 млн. рублей). Объем отгруженных товаров собственного производства, выполненных работ и услуг собственными силами составил 128,2 млн. рублей или 132,8% к соответствующему периоду 2015 года (96,5 млн. рублей).</w:t>
      </w:r>
    </w:p>
    <w:p w14:paraId="717BE41F" w14:textId="77777777" w:rsidR="001D38A9"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Предприятиями местной промышленности выпускается продукция для внутреннего потребления и реализации на территории города. Объемы производства в натуральных показателях отдельных видов продукции по итогам 2016 года характеризуются увеличением вылова рыбы на 111,2%, превышением показателей прошлого года на 19 % произведенной рыбопродукции, увеличением в 2,7 раза производства мясных полуфабрикатов и кондитерских изделий на 37%.</w:t>
      </w:r>
    </w:p>
    <w:p w14:paraId="38EB6E73" w14:textId="7777777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p>
    <w:p w14:paraId="3AF90EEA"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Инвестиции</w:t>
      </w:r>
    </w:p>
    <w:p w14:paraId="7FBDF860" w14:textId="3720D5E3"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Объем инвестиций в основной капитал в 2016 году за счет всех источников финансирования по</w:t>
      </w:r>
      <w:r w:rsidR="004D5ABC">
        <w:rPr>
          <w:rFonts w:ascii="Times New Roman" w:eastAsia="Calibri" w:hAnsi="Times New Roman" w:cs="Times New Roman"/>
          <w:sz w:val="28"/>
          <w:szCs w:val="20"/>
          <w:lang w:eastAsia="ru-RU"/>
        </w:rPr>
        <w:t xml:space="preserve"> </w:t>
      </w:r>
      <w:r w:rsidRPr="0013502F">
        <w:rPr>
          <w:rFonts w:ascii="Times New Roman" w:eastAsia="Calibri" w:hAnsi="Times New Roman" w:cs="Times New Roman"/>
          <w:sz w:val="28"/>
          <w:szCs w:val="20"/>
          <w:lang w:eastAsia="ru-RU"/>
        </w:rPr>
        <w:t xml:space="preserve">оценке составил 26 781,96 млн. рублей  или 104,1% к 2015 году (25 724,43 млн. рублей). </w:t>
      </w:r>
    </w:p>
    <w:p w14:paraId="35EE851E"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Основную долю в структуре инвестиций по источникам финансирования занимают привлеченные средства – 59,5% или 15 935,27 млн. рублей (2015 год – 63,7% или 16 386,46 млн. рублей). Собственные средства предприятий – 40,5% или 10 846,69 млн. рублей (2015 год – 36,3% или 9 337,97 млн. рублей).</w:t>
      </w:r>
    </w:p>
    <w:p w14:paraId="1A75AEAF"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По функциональному назначению инвестиции в основной капитал направлены на:</w:t>
      </w:r>
    </w:p>
    <w:p w14:paraId="2FBB40CC"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строительство жилья – 36,2%;</w:t>
      </w:r>
    </w:p>
    <w:p w14:paraId="3DB1A80D"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строительство зданий и сооружений – 27,3%;</w:t>
      </w:r>
    </w:p>
    <w:p w14:paraId="6388E1AC"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приобретение машин и оборудования – 19,7%;</w:t>
      </w:r>
    </w:p>
    <w:p w14:paraId="1546735B"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транспортные средства – 10,4%; </w:t>
      </w:r>
    </w:p>
    <w:p w14:paraId="4AC424CD"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lastRenderedPageBreak/>
        <w:t>- прочие инвестиции – 6,4%.</w:t>
      </w:r>
    </w:p>
    <w:p w14:paraId="61C4B5E5" w14:textId="77777777" w:rsidR="00990D38" w:rsidRPr="0013502F" w:rsidRDefault="00990D38" w:rsidP="00527456">
      <w:pPr>
        <w:widowControl w:val="0"/>
        <w:spacing w:after="0" w:line="240" w:lineRule="auto"/>
        <w:ind w:firstLine="709"/>
        <w:jc w:val="right"/>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Рисунок 3</w:t>
      </w:r>
    </w:p>
    <w:p w14:paraId="528301D5" w14:textId="77777777" w:rsidR="00990D38" w:rsidRPr="0013502F" w:rsidRDefault="00990D38" w:rsidP="007C2224">
      <w:pPr>
        <w:widowControl w:val="0"/>
        <w:spacing w:after="0" w:line="240" w:lineRule="auto"/>
        <w:ind w:firstLine="709"/>
        <w:jc w:val="center"/>
        <w:rPr>
          <w:rFonts w:ascii="Times New Roman" w:eastAsia="Calibri" w:hAnsi="Times New Roman" w:cs="Times New Roman"/>
          <w:sz w:val="28"/>
          <w:szCs w:val="20"/>
          <w:lang w:eastAsia="ru-RU"/>
        </w:rPr>
      </w:pPr>
      <w:r w:rsidRPr="0013502F">
        <w:rPr>
          <w:rFonts w:ascii="Times New Roman" w:eastAsia="Times New Roman" w:hAnsi="Times New Roman"/>
          <w:i/>
          <w:noProof/>
          <w:sz w:val="28"/>
          <w:szCs w:val="28"/>
          <w:lang w:eastAsia="ru-RU"/>
        </w:rPr>
        <w:drawing>
          <wp:inline distT="0" distB="0" distL="0" distR="0" wp14:anchorId="03FB60FC" wp14:editId="5DC45B11">
            <wp:extent cx="5267325" cy="212407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EA3AF3"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w:t>
      </w:r>
    </w:p>
    <w:p w14:paraId="62E42556"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С начала 2016 года введено в эксплуатацию 23 многоквартирных жилых дома общей площадью 100,3 тыс.кв.м. и 56 индивидуальных жилых домов площадью 10,7 тыс. кв. м. По результатам градостроительной деятельности оформлены разрешения на ввод в эксплуатацию по 42 законченным строительством объектам, в том числе:</w:t>
      </w:r>
    </w:p>
    <w:p w14:paraId="657942C2"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детский сад по ул. Анны Коньковой на 300 мест, </w:t>
      </w:r>
    </w:p>
    <w:p w14:paraId="7803099B"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встроенные помещения для размещения билдинг - садов, общей площадью 2806,8 кв. метров; </w:t>
      </w:r>
    </w:p>
    <w:p w14:paraId="27946630"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«Кафе-мороженное и спорт-бар» по ул. Луговая; </w:t>
      </w:r>
    </w:p>
    <w:p w14:paraId="0321020E"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«Медицинский центр» по ул. Калинина;</w:t>
      </w:r>
    </w:p>
    <w:p w14:paraId="2458728F"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складская база район АБЗ; </w:t>
      </w:r>
    </w:p>
    <w:p w14:paraId="702F9684"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индивидуальное жилищное строительство сети коммуникаций СУ-967, 2 очередь.</w:t>
      </w:r>
    </w:p>
    <w:p w14:paraId="70932EA5" w14:textId="77777777" w:rsidR="00C51049"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В отчетном году осуществлялись мероприятия программ, направленных на строительство жилья, дорог, социальных объектов, модернизацию и строительство объектов жилищно-коммунального хозяйства.</w:t>
      </w:r>
    </w:p>
    <w:p w14:paraId="5971571E"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p>
    <w:p w14:paraId="6C27F861" w14:textId="77777777" w:rsidR="001D38A9" w:rsidRPr="0013502F" w:rsidRDefault="009218C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 xml:space="preserve"> </w:t>
      </w:r>
      <w:r w:rsidR="001D38A9" w:rsidRPr="0013502F">
        <w:rPr>
          <w:rFonts w:ascii="Times New Roman" w:eastAsia="Times New Roman" w:hAnsi="Times New Roman" w:cs="Times New Roman"/>
          <w:b/>
          <w:bCs/>
          <w:sz w:val="28"/>
          <w:szCs w:val="28"/>
          <w:lang w:eastAsia="ru-RU"/>
        </w:rPr>
        <w:t>Занятость населения</w:t>
      </w:r>
    </w:p>
    <w:p w14:paraId="5470A350" w14:textId="77777777" w:rsidR="00990D38" w:rsidRPr="0013502F" w:rsidRDefault="00990D38" w:rsidP="00527456">
      <w:pPr>
        <w:pStyle w:val="aa"/>
        <w:widowControl w:val="0"/>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p>
    <w:p w14:paraId="00361A7E"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Ситуация на рынке труда города Ханты-Мансийска за последние несколько лет сохраняет стабильность. Показатели, характеризующие развитие рынка труда, показывают положительную динамику. </w:t>
      </w:r>
    </w:p>
    <w:p w14:paraId="36A312DD" w14:textId="0ACF9863"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по состоянию на 01.01.2017 число граждан, обратившихся за содействием в поиске подходящей работы, составило 2 665 чел. (работающие граждане, граждане, желающие сменить место работы, выпускники организаций профессионального образования, граждане предпенсионного и пенсионного возраста, инвалиды, многодетные родители, родители, воспитывающие детей-инвалидов и др.), из них 974 чел. трудоустроены. Коэффициент напряженности составил 0,72 человека на 1 свободное рабочее место.</w:t>
      </w:r>
    </w:p>
    <w:p w14:paraId="29177FE1" w14:textId="77777777" w:rsidR="00D441C7" w:rsidRPr="0013502F" w:rsidRDefault="00990D38" w:rsidP="00D441C7">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Уровень зарегистрированной безработицы снизился с 0,65% в 2015 году до 0,51% в 2016 году от экономически активного населения города. Увеличилась </w:t>
      </w:r>
      <w:r w:rsidRPr="0013502F">
        <w:rPr>
          <w:rFonts w:ascii="Times New Roman" w:eastAsia="Times New Roman" w:hAnsi="Times New Roman" w:cs="Times New Roman"/>
          <w:sz w:val="28"/>
          <w:szCs w:val="28"/>
          <w:lang w:eastAsia="ru-RU"/>
        </w:rPr>
        <w:lastRenderedPageBreak/>
        <w:t>среднесписочная численность работников (по полному кругу организаций) на 18,2%, численность  безработных граждан, стоящих на регистрационном учете, уменьшилась до 291 чел. (в 2015 году - 317 чел.). При этом предприятиями и организациями города в отчетном периоде созданы 5 071 рабочее место, из них 3885 постоянных рабочих мест.</w:t>
      </w:r>
      <w:r w:rsidR="00D441C7">
        <w:rPr>
          <w:rFonts w:ascii="Times New Roman" w:eastAsia="Times New Roman" w:hAnsi="Times New Roman" w:cs="Times New Roman"/>
          <w:sz w:val="28"/>
          <w:szCs w:val="28"/>
          <w:lang w:eastAsia="ru-RU"/>
        </w:rPr>
        <w:t xml:space="preserve"> </w:t>
      </w:r>
    </w:p>
    <w:p w14:paraId="0591A991"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По итогам 2016 года отмечается увеличение спроса работодателей на рабочую силу, количество заявленных вакансий по состоянию на 1 января 2017 года составило 403 единицы, что на 11 % больше показателя на 1 января 2016 года (359 тыс. единиц).</w:t>
      </w:r>
    </w:p>
    <w:p w14:paraId="4022D673"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lang w:eastAsia="ru-RU"/>
        </w:rPr>
        <w:t>Численность экономически активного населения на 01.01.2017 составила 58 714 чел., или 60,0% от общей численности населения города Ханты-Мансийска, из их числа 58 423 чел., или 99,5% от числа экономически активного населения, были заняты в экономическом секторе (2015 год – 56 999 чел.).</w:t>
      </w:r>
    </w:p>
    <w:p w14:paraId="1389CB27"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Учитывая потребность в рабочей силе по специальностям, не востребованным либо с отсутствием таких специалистов в городе, в соответствии с миграционным законодательством привлекается иностранная рабочая сила, прибывшая в Российскую Федерацию в порядке, требующем получение визы, в соответствии с заявками, поданными работодателями. </w:t>
      </w:r>
    </w:p>
    <w:p w14:paraId="284354B0"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по городу Ханты-Мансийску установлена квота на выдачу иностранным гражданам, прибывшим в Российскую Федерацию в порядке, требующем получение визы, 149 разрешений на работу.</w:t>
      </w:r>
    </w:p>
    <w:p w14:paraId="3A149C49"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Всего за 2016 год организациями города использована квота в количестве 4 единиц, что составляет 2,7% от утвержденной квоты.</w:t>
      </w:r>
    </w:p>
    <w:p w14:paraId="43BC66C6"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целях своевременного реагирования и минимизации колебаний на рынке труда на постоянной основе проводятся заседания Межведомственной комиссии по вопросам содействия занятости населения при Администрации города Ханты-Мансийска (далее – Межведомственная комиссия). За 2016 год проведено 12 заседаний Межведомственной комиссии, на которых были рассмотрены вопросы:</w:t>
      </w:r>
    </w:p>
    <w:p w14:paraId="2DBF93FF"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снижения неформальной занятости населения в 2016 году во взаимодействии с контрольно-надзорными территориальными федеральными органами государственной власти Российской Федерации по Ханты-Мансийскому автономному округу - Югре и Администрации города Ханты-Мансийска;</w:t>
      </w:r>
    </w:p>
    <w:p w14:paraId="299D5DDA"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 утвержден план мероприятий Межведомственной комиссии по вопросам содействия занятости населения на 2016 год, в который входят в том числе,  мероприятия по снижению неформальной занятости, легализации «серой» заработной платы, неофициально оформленных трудовых отношений, повышению собираемости страховых взносов во внебюджетные фонды;</w:t>
      </w:r>
    </w:p>
    <w:p w14:paraId="15264139"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утвержден комплексный План мероприятий по стабилизации на рынке труда в городе Ханты-Мансийске на 2016 год.</w:t>
      </w:r>
    </w:p>
    <w:p w14:paraId="77A0F70E"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программы Ханты-Мансийского автономного округа - Югры «Содействие занятости населения на 2016-2020 годы» (далее - Программа), в которой сохранены стимулирующие меры государственной </w:t>
      </w:r>
      <w:r w:rsidRPr="0013502F">
        <w:rPr>
          <w:rFonts w:ascii="Times New Roman" w:eastAsia="Times New Roman" w:hAnsi="Times New Roman" w:cs="Times New Roman"/>
          <w:sz w:val="28"/>
          <w:szCs w:val="28"/>
          <w:lang w:eastAsia="ru-RU"/>
        </w:rPr>
        <w:lastRenderedPageBreak/>
        <w:t>поддержки работодателям и отдельным категориям граждан, а также мероприятия во исполнение поручений Президента Российской Федерации:</w:t>
      </w:r>
    </w:p>
    <w:p w14:paraId="7532BBA2"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содействие в трудоустройстве инвалидов, одиноких родителей, многодетных родителей и родителей, воспитывающих детей-инвалидов, женщин, находящихся в отпуске по уходу за ребенком в возрасте до 3-х лет;</w:t>
      </w:r>
    </w:p>
    <w:p w14:paraId="36553741"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содействие занятости граждан предпенсионного и пенсионного возраста;</w:t>
      </w:r>
    </w:p>
    <w:p w14:paraId="7E3586C3"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содействие временному трудоустройству лиц, освободившихся из мест лишения свободы, и лиц, осужденных к исполнению наказания в виде лишения свободы и др.</w:t>
      </w:r>
    </w:p>
    <w:p w14:paraId="667FD1FC"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2016 году на реализацию политики в сфере содействия занятости населения и снижению напряженности на рынке труда в рамках Программы направлено 9 894,8 тыс. рублей. В рамках реализации Программы поддержкой охвачены различные категории граждан. </w:t>
      </w:r>
    </w:p>
    <w:p w14:paraId="50A7A728" w14:textId="01BA4886"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Реализация мероприятий позволила оказать содействие по самозанятости безработных граждан, развитию гибких форм занятости и надомного труда, профессиональному обучению и дополнительному профессиональному образованию отдельных категорий граждан. Особое внимание уделено категориям граждан, нуждающихся в дополнительных мерах по трудоустройству. В соответствии с заключенными договорами на созданные и специально оборудованные рабочие места трудоустроено 10 инвалидов.</w:t>
      </w:r>
    </w:p>
    <w:p w14:paraId="4AC497FA"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Кроме того, в рамках проводимых мероприятий Программы были трудоустроены граждане, испытывающие трудности в поиске работы, несовершеннолетние граждане в возрасте от 14 до 18 лет, в том числе подростки, оказавшиеся в трудной жизненной ситуации, а также выпускники профессиональных образовательных организаций и образовательных организаций высшего образования в возрасте до 25 лет. </w:t>
      </w:r>
    </w:p>
    <w:p w14:paraId="7307219E"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Свой вклад в создание рабочих мест внесли предприятия и организации города. Всего за 2016 год предприятиями и организациями города были созданы 836 рабочих мест (в 2015 году - 655).</w:t>
      </w:r>
    </w:p>
    <w:p w14:paraId="73A19565" w14:textId="77777777" w:rsidR="00134E43" w:rsidRPr="0013502F" w:rsidRDefault="00134E43" w:rsidP="00527456">
      <w:pPr>
        <w:widowControl w:val="0"/>
        <w:spacing w:after="0" w:line="240" w:lineRule="auto"/>
        <w:ind w:firstLine="709"/>
        <w:jc w:val="both"/>
        <w:rPr>
          <w:rFonts w:ascii="Times New Roman" w:eastAsia="Times New Roman" w:hAnsi="Times New Roman" w:cs="Times New Roman"/>
          <w:bCs/>
          <w:sz w:val="28"/>
          <w:szCs w:val="28"/>
          <w:lang w:eastAsia="ru-RU"/>
        </w:rPr>
      </w:pPr>
    </w:p>
    <w:p w14:paraId="18ED2C38" w14:textId="77777777" w:rsidR="00E51DF0" w:rsidRPr="0013502F" w:rsidRDefault="00137E44" w:rsidP="00527456">
      <w:pPr>
        <w:pStyle w:val="aa"/>
        <w:widowControl w:val="0"/>
        <w:numPr>
          <w:ilvl w:val="1"/>
          <w:numId w:val="1"/>
        </w:numPr>
        <w:spacing w:after="0" w:line="240" w:lineRule="auto"/>
        <w:ind w:left="0" w:firstLine="709"/>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Денежные доходы и расходы населения</w:t>
      </w:r>
    </w:p>
    <w:p w14:paraId="5DC622CE" w14:textId="77777777" w:rsidR="00990D38" w:rsidRPr="0013502F" w:rsidRDefault="00990D38" w:rsidP="00527456">
      <w:pPr>
        <w:pStyle w:val="aa"/>
        <w:widowControl w:val="0"/>
        <w:spacing w:after="0" w:line="240" w:lineRule="auto"/>
        <w:ind w:left="709"/>
        <w:rPr>
          <w:rFonts w:ascii="Times New Roman" w:eastAsia="Times New Roman" w:hAnsi="Times New Roman" w:cs="Times New Roman"/>
          <w:b/>
          <w:bCs/>
          <w:sz w:val="28"/>
          <w:szCs w:val="28"/>
          <w:lang w:eastAsia="ru-RU"/>
        </w:rPr>
      </w:pPr>
    </w:p>
    <w:p w14:paraId="15321719"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bCs/>
          <w:sz w:val="28"/>
          <w:szCs w:val="28"/>
        </w:rPr>
        <w:t xml:space="preserve">В 2016 году в городе сохранилась положительная динамика уровня жизни населения. Одним из основных макроэкономических показателей уровня жизни являются доходы населения. </w:t>
      </w:r>
    </w:p>
    <w:p w14:paraId="2C3C5742" w14:textId="1F802F98" w:rsidR="00990D38" w:rsidRPr="0013502F" w:rsidRDefault="00990D38" w:rsidP="00527456">
      <w:pPr>
        <w:widowControl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Times New Roman" w:hAnsi="Times New Roman" w:cs="Times New Roman"/>
          <w:bCs/>
          <w:sz w:val="28"/>
          <w:szCs w:val="28"/>
        </w:rPr>
        <w:t>В 2016 году среднемесячная заработная плата одного работающего в организациях города с</w:t>
      </w:r>
      <w:r w:rsidR="00697F8A">
        <w:rPr>
          <w:rFonts w:ascii="Times New Roman" w:eastAsia="Times New Roman" w:hAnsi="Times New Roman" w:cs="Times New Roman"/>
          <w:bCs/>
          <w:sz w:val="28"/>
          <w:szCs w:val="28"/>
        </w:rPr>
        <w:t>оставила 69 107,3 рублей или 102,5% к 2015 году (67 448,0</w:t>
      </w:r>
      <w:r w:rsidRPr="0013502F">
        <w:rPr>
          <w:rFonts w:ascii="Times New Roman" w:eastAsia="Times New Roman" w:hAnsi="Times New Roman" w:cs="Times New Roman"/>
          <w:bCs/>
          <w:sz w:val="28"/>
          <w:szCs w:val="28"/>
        </w:rPr>
        <w:t xml:space="preserve"> рублей).</w:t>
      </w:r>
      <w:r w:rsidRPr="0013502F">
        <w:rPr>
          <w:rFonts w:ascii="Times New Roman" w:eastAsia="Calibri" w:hAnsi="Times New Roman" w:cs="Times New Roman"/>
          <w:sz w:val="28"/>
          <w:szCs w:val="28"/>
        </w:rPr>
        <w:t xml:space="preserve"> </w:t>
      </w:r>
    </w:p>
    <w:p w14:paraId="21EC3CF2" w14:textId="77777777" w:rsidR="00990D38" w:rsidRPr="0013502F" w:rsidRDefault="00990D38" w:rsidP="00527456">
      <w:pPr>
        <w:widowControl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По уровню средней заработной платы Ханты-Мансийск опережает среднеокружные и общероссийские  показатели. По отношению к 2015 году оплата труда увеличилась во всех видах организаций, экономическая деятельность которых подлежит наблюдению.</w:t>
      </w:r>
    </w:p>
    <w:p w14:paraId="091DA0CE" w14:textId="77777777" w:rsidR="00CD1036" w:rsidRDefault="00CD1036" w:rsidP="00527456">
      <w:pPr>
        <w:widowControl w:val="0"/>
        <w:spacing w:after="0" w:line="240" w:lineRule="auto"/>
        <w:ind w:firstLine="709"/>
        <w:jc w:val="right"/>
        <w:rPr>
          <w:rFonts w:ascii="Times New Roman" w:eastAsia="Times New Roman" w:hAnsi="Times New Roman" w:cs="Times New Roman"/>
          <w:bCs/>
          <w:sz w:val="28"/>
          <w:szCs w:val="28"/>
          <w:lang w:eastAsia="x-none"/>
        </w:rPr>
      </w:pPr>
    </w:p>
    <w:p w14:paraId="7EEACBB4" w14:textId="77777777" w:rsidR="00C51049" w:rsidRPr="0013502F" w:rsidRDefault="00C51049" w:rsidP="00527456">
      <w:pPr>
        <w:widowControl w:val="0"/>
        <w:spacing w:after="0" w:line="240" w:lineRule="auto"/>
        <w:ind w:firstLine="709"/>
        <w:jc w:val="right"/>
        <w:rPr>
          <w:rFonts w:ascii="Times New Roman" w:eastAsia="Times New Roman" w:hAnsi="Times New Roman" w:cs="Times New Roman"/>
          <w:bCs/>
          <w:sz w:val="28"/>
          <w:szCs w:val="28"/>
          <w:lang w:eastAsia="x-none"/>
        </w:rPr>
      </w:pPr>
      <w:r w:rsidRPr="0013502F">
        <w:rPr>
          <w:rFonts w:ascii="Times New Roman" w:eastAsia="Times New Roman" w:hAnsi="Times New Roman" w:cs="Times New Roman"/>
          <w:bCs/>
          <w:sz w:val="28"/>
          <w:szCs w:val="28"/>
          <w:lang w:eastAsia="x-none"/>
        </w:rPr>
        <w:t>Рис</w:t>
      </w:r>
      <w:r w:rsidR="00527456">
        <w:rPr>
          <w:rFonts w:ascii="Times New Roman" w:eastAsia="Times New Roman" w:hAnsi="Times New Roman" w:cs="Times New Roman"/>
          <w:bCs/>
          <w:sz w:val="28"/>
          <w:szCs w:val="28"/>
          <w:lang w:eastAsia="x-none"/>
        </w:rPr>
        <w:t>унок</w:t>
      </w:r>
      <w:r w:rsidRPr="0013502F">
        <w:rPr>
          <w:rFonts w:ascii="Times New Roman" w:eastAsia="Times New Roman" w:hAnsi="Times New Roman" w:cs="Times New Roman"/>
          <w:bCs/>
          <w:sz w:val="28"/>
          <w:szCs w:val="28"/>
          <w:lang w:eastAsia="x-none"/>
        </w:rPr>
        <w:t xml:space="preserve"> 4</w:t>
      </w:r>
    </w:p>
    <w:p w14:paraId="50AEA2F3" w14:textId="77777777" w:rsidR="00CD1036" w:rsidRDefault="00C51049" w:rsidP="00527456">
      <w:pPr>
        <w:widowControl w:val="0"/>
        <w:spacing w:after="0" w:line="240" w:lineRule="auto"/>
        <w:ind w:firstLine="709"/>
        <w:jc w:val="both"/>
        <w:rPr>
          <w:rFonts w:ascii="Times New Roman" w:eastAsia="Times New Roman" w:hAnsi="Times New Roman" w:cs="Times New Roman"/>
          <w:bCs/>
          <w:sz w:val="28"/>
          <w:szCs w:val="28"/>
          <w:lang w:eastAsia="x-none"/>
        </w:rPr>
      </w:pPr>
      <w:r w:rsidRPr="0013502F">
        <w:rPr>
          <w:rFonts w:ascii="Times New Roman" w:eastAsia="Times New Roman" w:hAnsi="Times New Roman" w:cs="Times New Roman"/>
          <w:bCs/>
          <w:sz w:val="28"/>
          <w:szCs w:val="28"/>
          <w:lang w:eastAsia="x-none"/>
        </w:rPr>
        <w:t xml:space="preserve"> </w:t>
      </w:r>
    </w:p>
    <w:p w14:paraId="73F0D219" w14:textId="77777777" w:rsidR="00CD1036" w:rsidRDefault="00CD1036"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1095B6A6" w14:textId="56AE333F" w:rsidR="001B40E2" w:rsidRPr="0013502F" w:rsidRDefault="001B40E2" w:rsidP="00527456">
      <w:pPr>
        <w:widowControl w:val="0"/>
        <w:spacing w:after="0" w:line="240" w:lineRule="auto"/>
        <w:ind w:firstLine="709"/>
        <w:jc w:val="both"/>
        <w:rPr>
          <w:rFonts w:ascii="Times New Roman" w:eastAsia="Times New Roman" w:hAnsi="Times New Roman" w:cs="Times New Roman"/>
          <w:bCs/>
          <w:sz w:val="28"/>
          <w:szCs w:val="28"/>
          <w:lang w:eastAsia="x-none"/>
        </w:rPr>
      </w:pPr>
      <w:r w:rsidRPr="0013502F">
        <w:rPr>
          <w:rFonts w:ascii="Times New Roman" w:eastAsia="Times New Roman" w:hAnsi="Times New Roman"/>
          <w:i/>
          <w:noProof/>
          <w:sz w:val="28"/>
          <w:szCs w:val="28"/>
          <w:lang w:eastAsia="ru-RU"/>
        </w:rPr>
        <w:lastRenderedPageBreak/>
        <w:drawing>
          <wp:inline distT="0" distB="0" distL="0" distR="0" wp14:anchorId="524CB1B8" wp14:editId="7188DC2E">
            <wp:extent cx="5848350" cy="2619375"/>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8CB454" w14:textId="77777777" w:rsidR="00C51049" w:rsidRPr="0013502F" w:rsidRDefault="00C51049"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62EED2EE" w14:textId="77777777" w:rsidR="001B40E2" w:rsidRPr="0013502F" w:rsidRDefault="001B40E2" w:rsidP="00527456">
      <w:pPr>
        <w:widowControl w:val="0"/>
        <w:tabs>
          <w:tab w:val="left" w:pos="709"/>
        </w:tabs>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bCs/>
          <w:sz w:val="28"/>
          <w:szCs w:val="28"/>
        </w:rPr>
        <w:t>Среднемесячный размер трудовой пенсии</w:t>
      </w:r>
      <w:r w:rsidRPr="0013502F">
        <w:rPr>
          <w:rFonts w:ascii="Times New Roman" w:eastAsia="Times New Roman" w:hAnsi="Times New Roman" w:cs="Times New Roman"/>
          <w:sz w:val="28"/>
          <w:szCs w:val="28"/>
        </w:rPr>
        <w:t xml:space="preserve"> по старости одного пенсионера по данным государственного учреждения  Отделение Пенсионного фонда Российской Федерации по Ханты-Мансийскому автономному округу – Югре в городе Ханты-Мансийске в 2016 году составил 19 970,44 рублей или 110,6% к 2015 году (19 605,89 рублей) без учета доплат из бюджета автономного округа.</w:t>
      </w:r>
    </w:p>
    <w:p w14:paraId="7F1EDB2F" w14:textId="77777777" w:rsidR="001B40E2" w:rsidRPr="0013502F" w:rsidRDefault="001B40E2" w:rsidP="00527456">
      <w:pPr>
        <w:widowControl w:val="0"/>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 xml:space="preserve">Доплаты неработающим пенсионерам производятся Негосударственным Пенсионным фондом Ханты-Мансийского автономного округа – Югры, </w:t>
      </w:r>
      <w:r w:rsidRPr="0013502F">
        <w:rPr>
          <w:rFonts w:ascii="Times New Roman" w:eastAsia="Times New Roman" w:hAnsi="Times New Roman" w:cs="Times New Roman"/>
          <w:bCs/>
          <w:sz w:val="28"/>
          <w:szCs w:val="28"/>
        </w:rPr>
        <w:t xml:space="preserve">размер доплаты зависит от стажа работы пенсионера на территории округа. </w:t>
      </w:r>
      <w:r w:rsidRPr="0013502F">
        <w:rPr>
          <w:rFonts w:ascii="Times New Roman" w:eastAsia="Times New Roman" w:hAnsi="Times New Roman" w:cs="Times New Roman"/>
          <w:sz w:val="28"/>
          <w:szCs w:val="28"/>
        </w:rPr>
        <w:t>За 2016 год дополнительные выплаты получили 6 419 чел. (2015 год - 6 434 чел.) в среднем по 993,8 рубля (2015 год – 992,7 рубля).</w:t>
      </w:r>
    </w:p>
    <w:p w14:paraId="5DCB9B66" w14:textId="77777777" w:rsidR="001B40E2" w:rsidRPr="0013502F" w:rsidRDefault="001B40E2" w:rsidP="00527456">
      <w:pPr>
        <w:widowControl w:val="0"/>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С учетом дополнительных выплат средний размер доходов одного неработающего пенсионера в 2016 году составил 20 964,3 рубля (2015 год –20 598,6 рублей).</w:t>
      </w:r>
    </w:p>
    <w:p w14:paraId="671585AC" w14:textId="77777777" w:rsidR="00BD4D65" w:rsidRPr="0013502F" w:rsidRDefault="00BD4D65"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3FB60DB9" w14:textId="77777777" w:rsidR="00BD4D65" w:rsidRPr="0013502F" w:rsidRDefault="00BD4D65" w:rsidP="00527456">
      <w:pPr>
        <w:pStyle w:val="aa"/>
        <w:widowControl w:val="0"/>
        <w:numPr>
          <w:ilvl w:val="1"/>
          <w:numId w:val="1"/>
        </w:numPr>
        <w:spacing w:after="0" w:line="240" w:lineRule="auto"/>
        <w:ind w:left="0"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Потребительский рынок</w:t>
      </w:r>
    </w:p>
    <w:p w14:paraId="46393DCF" w14:textId="77777777" w:rsidR="001B40E2" w:rsidRPr="0013502F" w:rsidRDefault="001B40E2" w:rsidP="00527456">
      <w:pPr>
        <w:pStyle w:val="aa"/>
        <w:widowControl w:val="0"/>
        <w:spacing w:after="0" w:line="240" w:lineRule="auto"/>
        <w:ind w:left="709"/>
        <w:jc w:val="both"/>
        <w:rPr>
          <w:rFonts w:ascii="Times New Roman" w:eastAsia="Times New Roman" w:hAnsi="Times New Roman" w:cs="Times New Roman"/>
          <w:b/>
          <w:sz w:val="28"/>
          <w:szCs w:val="28"/>
          <w:lang w:eastAsia="ru-RU"/>
        </w:rPr>
      </w:pPr>
    </w:p>
    <w:p w14:paraId="1D05129B"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Оборот розничной торговли за 2016 год составил 17 932,7 млн. рублей, что превышает уровень соответствующего периода 2015 года на 499,3 млн. рублей или на 2,9% в сопоставимых ценах (соответствующий период 2015 года – 17433,4 млн. руб.). Товарооборот по всем видам проявления в расчете на душу населения составил 186,5 тыс. рублей (соответствующий период 2015 года – 184,6 тыс. руб.).</w:t>
      </w:r>
    </w:p>
    <w:p w14:paraId="66A78711"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 xml:space="preserve">В 2016 году деятельность осуществлялась на 105 торговых объектах (соответствующий период 2015 года – 90) с площадью торгового зала 30741,63 м2 (соответствующий период 2015 года –23852,85 м2). </w:t>
      </w:r>
    </w:p>
    <w:p w14:paraId="43F5914F"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За 2016 год оборот общественного питания в действующих ценах по оценке составил 2875,5 млн. рублей, что больше показателя соответствующего периода 2015 года на 5,6% (соответствующий период 2015 года – 2723,3 тыс. руб.). Оборот общественного питания на душу населения составил 29,9 тыс. руб./чел. (соответствующий период 2015 года – 28,8 тыс. руб./чел.).</w:t>
      </w:r>
    </w:p>
    <w:p w14:paraId="3ED46063"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 xml:space="preserve">Объем платных услуг населению во всех секторах реализации составил 5909,6 млн. рублей, увеличение в сопоставимых ценах к соответствующему периоду 2015 года составило 2,5% (2015 год – 5767,6 млн. руб.). Объем платных услуг на душу населения составил 61,5 тыс. руб. (соответствующий период 2015 </w:t>
      </w:r>
      <w:r w:rsidRPr="0013502F">
        <w:rPr>
          <w:rFonts w:ascii="Times New Roman" w:hAnsi="Times New Roman" w:cs="Times New Roman"/>
          <w:sz w:val="28"/>
          <w:szCs w:val="28"/>
        </w:rPr>
        <w:lastRenderedPageBreak/>
        <w:t xml:space="preserve">года –61,1 тыс. руб.). </w:t>
      </w:r>
    </w:p>
    <w:p w14:paraId="748283E3" w14:textId="77777777" w:rsidR="00C726C9"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Объем бытовых услуг составил 413,7 млн. рублей или 102,5% в сопоставимых ценах к уровню 2015 года (2015 год – 403,7 млн. рублей).  Объем бытовых услуг на одного жителя города Ханты-Мансийска за 2016 год составил 4303 руб. (2015 год – 4275 руб.).</w:t>
      </w:r>
    </w:p>
    <w:p w14:paraId="4E0A9812"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bCs/>
          <w:sz w:val="28"/>
          <w:szCs w:val="28"/>
        </w:rPr>
      </w:pPr>
    </w:p>
    <w:p w14:paraId="0778C714" w14:textId="77777777" w:rsidR="00A367AC" w:rsidRPr="0013502F" w:rsidRDefault="00EE15EF" w:rsidP="00527456">
      <w:pPr>
        <w:pStyle w:val="aa"/>
        <w:widowControl w:val="0"/>
        <w:numPr>
          <w:ilvl w:val="1"/>
          <w:numId w:val="1"/>
        </w:numPr>
        <w:spacing w:after="0" w:line="240" w:lineRule="auto"/>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Криминогенная обстановка</w:t>
      </w:r>
    </w:p>
    <w:p w14:paraId="3F7A0A41" w14:textId="77777777" w:rsidR="003C42C0" w:rsidRPr="0013502F" w:rsidRDefault="003C42C0" w:rsidP="00527456">
      <w:pPr>
        <w:widowControl w:val="0"/>
        <w:spacing w:after="0" w:line="240" w:lineRule="auto"/>
        <w:jc w:val="both"/>
        <w:rPr>
          <w:rFonts w:ascii="Times New Roman" w:eastAsia="Times New Roman" w:hAnsi="Times New Roman" w:cs="Times New Roman"/>
          <w:b/>
          <w:bCs/>
          <w:sz w:val="28"/>
          <w:szCs w:val="28"/>
          <w:lang w:eastAsia="ru-RU"/>
        </w:rPr>
      </w:pPr>
    </w:p>
    <w:p w14:paraId="47E83E19" w14:textId="77777777" w:rsidR="001B40E2" w:rsidRPr="0013502F" w:rsidRDefault="001B40E2" w:rsidP="00527456">
      <w:pPr>
        <w:spacing w:after="0" w:line="240" w:lineRule="auto"/>
        <w:ind w:firstLine="641"/>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целях влияния на криминогенную обстановку, в 2016 году Администрацией города Ханты-Мансийска во взаимодействии с правоохранительными органами и иными субъектами профилактики на территории города Ханты-Мансийска проводились мероприятия, направленные на предупреждение совершения правонарушений.</w:t>
      </w:r>
    </w:p>
    <w:p w14:paraId="33A320CC" w14:textId="77777777" w:rsidR="001B40E2" w:rsidRPr="0013502F" w:rsidRDefault="001B40E2" w:rsidP="00527456">
      <w:pPr>
        <w:spacing w:after="0" w:line="240" w:lineRule="auto"/>
        <w:ind w:firstLine="641"/>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В рамках работы Межведомственных комиссий города Ханты-Мансийска по профилактике правонарушений, профилактике экстремизма, Антинаркотической и Антитеррористической комиссии  рассматривались вопросы взаимодействия органов Администрации города и правоохранительных органов,  вырабатывались  решения, направленные на снижение как преступности в целом, так и отдельных видов преступлений. </w:t>
      </w:r>
    </w:p>
    <w:p w14:paraId="142DF22D"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рамках реализации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 обеспечена работа установленных  на улицах города систем видеонаблюдения и видеоконтроля, обеспечены условия участия общественности в охране общественного порядка.</w:t>
      </w:r>
    </w:p>
    <w:p w14:paraId="41B06770"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При помощи систем видеонаблюдения раскрыто 5 преступлений, выявлено  795 правонарушений в сфере обеспечения  правопорядка,  11624 нарушения правил дорожного движения.  С участием членов добровольных народных дружин выявлено 92 правонарушения и раскрыто 4 преступления.</w:t>
      </w:r>
    </w:p>
    <w:p w14:paraId="277D0B48"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целом,   криминогенную ситуацию в городе Ханты-Мансийске в 2016 году можно оценить как стабильную. Комплекс реализованных мероприятий позволил сохранить контроль за развитием криминогенной ситуации и сохранить положительную динамику ее показателей. </w:t>
      </w:r>
    </w:p>
    <w:p w14:paraId="03268999"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На территории города Ханты-Мансийска  зарегистрировано   1556 преступлений, что на 3% меньше, чем в 2015 году (1603).</w:t>
      </w:r>
    </w:p>
    <w:p w14:paraId="78796E26"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В структуре имущественных преступлений количество зарегистрированных краж снизилось на 4% и составило 543 преступления (2015- 564), неправомерных завладений транспортным  средством   на 14% и составило 32 преступления (2015 - 37). Разбойных нападений с целью завладения чужим имуществом не зарегистрировано (2015-6).</w:t>
      </w:r>
    </w:p>
    <w:p w14:paraId="6AC70DF9"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При этом, количество зарегистрированных фактов мошенничества увеличилось на 16% и составило 243 преступления (2015 год – 209), зарегистрировано 17 грабежей, что превышает показатель</w:t>
      </w:r>
      <w:r w:rsidR="007576D2">
        <w:rPr>
          <w:rFonts w:ascii="Times New Roman" w:eastAsia="Times New Roman" w:hAnsi="Times New Roman" w:cs="Times New Roman"/>
          <w:sz w:val="28"/>
          <w:szCs w:val="28"/>
          <w:lang w:eastAsia="ru-RU"/>
        </w:rPr>
        <w:t xml:space="preserve"> 2015 года  на 55% (2015 - 11).</w:t>
      </w:r>
    </w:p>
    <w:p w14:paraId="036484ED" w14:textId="716FFF04" w:rsidR="001B40E2" w:rsidRPr="0013502F"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структуре преступлений против личности, количество зарегистрированных фактов умышленных убийств снизилось на 75% и составило </w:t>
      </w:r>
      <w:r w:rsidRPr="0013502F">
        <w:rPr>
          <w:rFonts w:ascii="Times New Roman" w:eastAsia="Times New Roman" w:hAnsi="Times New Roman" w:cs="Times New Roman"/>
          <w:sz w:val="28"/>
          <w:szCs w:val="28"/>
          <w:lang w:eastAsia="ru-RU"/>
        </w:rPr>
        <w:lastRenderedPageBreak/>
        <w:t xml:space="preserve">1 факт (АППГ-4).   Зарегистрировано снижение фактов изнасилований и покушений на изнасилование на 60% (2016 год 2 преступления, 2015- 5).  </w:t>
      </w:r>
    </w:p>
    <w:p w14:paraId="424C1FF6"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Количество фактов умышленного причинения вреда здоровью наоборот увеличилось на 35% и составило 31 преступление (2015 - 23).</w:t>
      </w:r>
    </w:p>
    <w:p w14:paraId="7D72EC1E" w14:textId="77777777" w:rsidR="001B40E2" w:rsidRPr="0013502F" w:rsidRDefault="001B40E2" w:rsidP="00527456">
      <w:pPr>
        <w:spacing w:after="0" w:line="240" w:lineRule="auto"/>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ab/>
        <w:t xml:space="preserve">В сфере незаконного оборота наркотиков выявлено 163 преступления, что на 14% ниже показателя 2015 года (189).  </w:t>
      </w:r>
    </w:p>
    <w:p w14:paraId="112940F3"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общественных местах города  совершено 650 преступлений, что на 3% ниже показателя 2015 года (667 преступлений). На улицах города совершено 432 преступления, что 25% выше показателя 2015 года (347 преступлений). </w:t>
      </w:r>
    </w:p>
    <w:p w14:paraId="72A95E31" w14:textId="76AD544F" w:rsidR="001B40E2" w:rsidRPr="0013502F"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Из числа раскрытых и оконченных производством уголовных дел иностранцами совершено 31 преступление, в 2015 году 37 (снижение на 16%). </w:t>
      </w:r>
    </w:p>
    <w:p w14:paraId="77CD787F"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На 37% снизилось количество преступлений совершенных в составе групп (с 67 до 42) и на 6% количество преступлений совершенных ранее судимыми лицами (со 151 до 142). При этом, отмечается рост преступлений совершенных в состоянии алкогольного опьянения на 6,9% (с 291 до 311). Количество преступлений совершенных несовершеннолетними зарегистрировано на уровне 2015 года и составило 20 преступлений.</w:t>
      </w:r>
    </w:p>
    <w:p w14:paraId="05ECA3DA"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экономической сфере в 2016 году зарегистрировано 86 преступлений, что на 6% ниже соответствующего периода 2015 года (91). Так же, отмечается снижение преступлений коррупционной напра</w:t>
      </w:r>
      <w:r w:rsidR="007576D2">
        <w:rPr>
          <w:rFonts w:ascii="Times New Roman" w:eastAsia="Times New Roman" w:hAnsi="Times New Roman" w:cs="Times New Roman"/>
          <w:sz w:val="28"/>
          <w:szCs w:val="28"/>
          <w:lang w:eastAsia="ru-RU"/>
        </w:rPr>
        <w:t>вленности на 24% (с 54 до 41).</w:t>
      </w:r>
    </w:p>
    <w:p w14:paraId="296776DE"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Автодорожных преступлений с причинением смерти в 2016 году на территории города не зарегистрировано (2015 -2).</w:t>
      </w:r>
    </w:p>
    <w:p w14:paraId="1772ECE8" w14:textId="0147EB8F" w:rsidR="001B40E2" w:rsidRPr="0013502F"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Так же, не зарегистрировано преступлений связанных с проявлениями национального и религиозного экстремизма, а также террористического характера.  </w:t>
      </w:r>
    </w:p>
    <w:p w14:paraId="2EF7376E" w14:textId="77777777" w:rsidR="00FC488B" w:rsidRPr="0013502F" w:rsidRDefault="00FC488B" w:rsidP="00527456">
      <w:pPr>
        <w:widowControl w:val="0"/>
        <w:spacing w:after="0" w:line="240" w:lineRule="auto"/>
        <w:ind w:firstLine="709"/>
        <w:jc w:val="both"/>
        <w:rPr>
          <w:rFonts w:ascii="Times New Roman" w:eastAsia="Times New Roman" w:hAnsi="Times New Roman" w:cs="Times New Roman"/>
          <w:b/>
          <w:i/>
          <w:sz w:val="28"/>
          <w:szCs w:val="28"/>
          <w:lang w:eastAsia="ru-RU"/>
        </w:rPr>
      </w:pPr>
    </w:p>
    <w:p w14:paraId="5D1644CF" w14:textId="77777777" w:rsidR="00AA7E3E" w:rsidRPr="0013502F" w:rsidRDefault="00ED5E9A" w:rsidP="00527456">
      <w:pPr>
        <w:pStyle w:val="aa"/>
        <w:widowControl w:val="0"/>
        <w:numPr>
          <w:ilvl w:val="1"/>
          <w:numId w:val="1"/>
        </w:numPr>
        <w:spacing w:after="0" w:line="240" w:lineRule="auto"/>
        <w:ind w:left="0" w:firstLine="709"/>
        <w:rPr>
          <w:rFonts w:ascii="Times New Roman" w:eastAsia="Times New Roman" w:hAnsi="Times New Roman" w:cs="Times New Roman"/>
          <w:b/>
          <w:sz w:val="28"/>
          <w:szCs w:val="28"/>
          <w:lang w:eastAsia="ru-RU"/>
        </w:rPr>
      </w:pPr>
      <w:bookmarkStart w:id="4" w:name="_2.14._Организация_и"/>
      <w:bookmarkEnd w:id="4"/>
      <w:r w:rsidRPr="0013502F">
        <w:rPr>
          <w:rFonts w:ascii="Times New Roman" w:eastAsia="Times New Roman" w:hAnsi="Times New Roman" w:cs="Times New Roman"/>
          <w:b/>
          <w:bCs/>
          <w:sz w:val="28"/>
          <w:szCs w:val="28"/>
          <w:lang w:eastAsia="x-none"/>
        </w:rPr>
        <w:t>Состояние жилищного фонда</w:t>
      </w:r>
    </w:p>
    <w:p w14:paraId="3A5AAED6" w14:textId="77777777" w:rsidR="00DD0384" w:rsidRPr="0013502F" w:rsidRDefault="00DD0384" w:rsidP="00527456">
      <w:pPr>
        <w:spacing w:after="0" w:line="240" w:lineRule="auto"/>
        <w:ind w:firstLine="709"/>
        <w:jc w:val="both"/>
        <w:rPr>
          <w:rFonts w:ascii="Times New Roman" w:eastAsia="Times New Roman" w:hAnsi="Times New Roman" w:cs="Times New Roman"/>
          <w:sz w:val="28"/>
          <w:szCs w:val="28"/>
          <w:lang w:eastAsia="ru-RU"/>
        </w:rPr>
      </w:pPr>
    </w:p>
    <w:p w14:paraId="43F22853"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Основными задачами деятельности Администрации города Ханты-Мансийска в сфере жилищно-коммунального хозяйства являются повышение уровня и качества предоставления жилищно-коммунальных услуг, улучшение условий проживания населения.</w:t>
      </w:r>
    </w:p>
    <w:p w14:paraId="3C01D729"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рамках Закона Ханты-Мансийского автономного округа - 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2016 году продолжено проведение инвентаризации многоквартирных домов, расположенных на территории города. Собираемость обязательных взносов на капитальный ремонт по итогам 2016 года составила 90,9% (в 2015 году - 90,9%), что на 24,2% больше, чем в среднем по Югре.</w:t>
      </w:r>
    </w:p>
    <w:p w14:paraId="2DA8260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выполнялись работы по капитальному ремонту (ремонт инженерных сетей теплоснабжения, водоснабжения, водоотведения, электроснабжения, кровель, мест общего пользования, входных групп, несущих перекрытий, а также обшив и утепление) 73 многоквартирных домов на общую стоимость работ 103,6 млн. рублей.</w:t>
      </w:r>
    </w:p>
    <w:p w14:paraId="26C77DC3"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lastRenderedPageBreak/>
        <w:t>В соответствии с постановлением Администрации города Ханты-Мансийска от 09.08.2012 №947 в 2016 году на условиях софинансирования произведен капитальный ремонт 3 многоквартирных домов: ул. Калинина, д.48; ул. Зырянова, д.24; ул.</w:t>
      </w:r>
      <w:r w:rsidR="00DB3D5C" w:rsidRPr="0013502F">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Строителей, д.79.</w:t>
      </w:r>
    </w:p>
    <w:p w14:paraId="4E30638D"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Проведен капитальный ремонт 97 муниципальных квартир на общую сумму 15057,6 тыс. рублей.</w:t>
      </w:r>
    </w:p>
    <w:p w14:paraId="3167FD87"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целях исполнения действующего законодательства приемка выполнения работ по капитальному ремонту осуществлялась при обязательном участии Общественного совета при Главе Администрации города Ханты-Мансийска по вопросам жилищно-коммунального хозяйства.</w:t>
      </w:r>
    </w:p>
    <w:p w14:paraId="7D75EDB2"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изменился состав Общественного совета при Главе Администрации города Ханты-Мансийска по вопросам ЖКХ: общее количество членов Общественного совета сократилось с 25 до 15 человек, основную долю составили председатели Советов многоквартирных домов, активные жильцы.</w:t>
      </w:r>
    </w:p>
    <w:p w14:paraId="302CB4B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2016 году представителями Общественного совета при Главе Администрации города Ханты-Мансийска по вопросам жилищно-коммунального хозяйства, проведено 4 заседания, на которых заслушаны доклады и отчеты органов Администрации города Ханты-Мансийска. </w:t>
      </w:r>
    </w:p>
    <w:p w14:paraId="3E1D651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По результатам учета многоквартирных домов на 31.12.2016 число многоквартирных домов составляло 1171 единицы (в 2015 году - 1163 ед.) общей площадью жилых помещений 1774 тыс. кв.м (в 2015 году - 1676,9 тыс. кв.м).</w:t>
      </w:r>
    </w:p>
    <w:p w14:paraId="08BBD4F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Из общего количества многоквартирных домов, в перечень домов, находящихся под управлением лицензированными управляющими организациями, вошло 264 дома, из них 96 многоквартирных домов находится в управлении муниципального предприятия «Жилищно-коммунальное управление».</w:t>
      </w:r>
    </w:p>
    <w:p w14:paraId="28E59E49"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количество имеющих лицензии на осуществление предпринимательской деятельности по управлению многоквартирными домами управляющих организаций города Ханты-Мансийска составило 19, в том числе получили лицензии 4 новые управляющие организации (ООО «СТРОЙИНЖИНЕРИНГ», ООО УК «Уютный дом», ООО «Иртыш плюс», ООО «Мегаполис+»).  Также в городе Ханты-Мансийске было зарегистрировано новое ТСЖ «Красноармейская 26».</w:t>
      </w:r>
    </w:p>
    <w:p w14:paraId="0BF623D9"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течение 2016 года подготовлена конкурсная документация на проведение открытых конкурсов по отбору управляющей организации для 21 многоквартирного жилого дома, проведено 13 открытых конкурсов по отбору управляющей организации для управления 19 многоквартирными домами в городе Ханты-Мансийске. По 2 многоквартирным домам, расположенным по адресу: г.Ханты-Мансийск, ул.Гагарина, д.35 и ул.Энгельса, д.58, конкурс не состоялся по причине реализации права собственников по выбору способа управления и управляющей организации.</w:t>
      </w:r>
    </w:p>
    <w:p w14:paraId="7CCA00B0"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Впервые был проведен смотр-конкурс среди управляющих организаций и ТСЖ на звание «Образцовый дом» и «Лучшая управляющая организация», по результатам которого победителями стали: в первой номинации -  ТСЖ «Наш дом» (ул.Дзержинского, д.25), во второй – МП «Водоканал».</w:t>
      </w:r>
    </w:p>
    <w:p w14:paraId="6C895D5D" w14:textId="77777777" w:rsidR="00313FFC" w:rsidRPr="0013502F" w:rsidRDefault="00D73758" w:rsidP="00527456">
      <w:pPr>
        <w:spacing w:after="0" w:line="240" w:lineRule="auto"/>
        <w:ind w:firstLine="709"/>
        <w:jc w:val="both"/>
        <w:rPr>
          <w:rFonts w:ascii="Times New Roman" w:eastAsia="Calibri" w:hAnsi="Times New Roman" w:cs="Times New Roman"/>
          <w:sz w:val="28"/>
          <w:szCs w:val="28"/>
        </w:rPr>
      </w:pPr>
      <w:r w:rsidRPr="0013502F">
        <w:rPr>
          <w:rFonts w:ascii="Times New Roman" w:eastAsia="Times New Roman" w:hAnsi="Times New Roman" w:cs="Times New Roman"/>
          <w:sz w:val="28"/>
          <w:szCs w:val="28"/>
          <w:lang w:eastAsia="ru-RU"/>
        </w:rPr>
        <w:lastRenderedPageBreak/>
        <w:t>Оснащенность общедомовыми приборами учета по всем коммунальным услугам (тепло, вода, свет) составляет 100%.</w:t>
      </w:r>
    </w:p>
    <w:p w14:paraId="6CCFBBAF" w14:textId="77777777" w:rsidR="0019483D" w:rsidRPr="0013502F" w:rsidRDefault="0019483D" w:rsidP="00527456">
      <w:pPr>
        <w:spacing w:after="0" w:line="240" w:lineRule="auto"/>
        <w:ind w:firstLine="709"/>
        <w:jc w:val="center"/>
        <w:rPr>
          <w:rFonts w:ascii="Times New Roman" w:eastAsia="Calibri" w:hAnsi="Times New Roman" w:cs="Times New Roman"/>
          <w:b/>
          <w:sz w:val="28"/>
          <w:szCs w:val="28"/>
        </w:rPr>
      </w:pPr>
    </w:p>
    <w:p w14:paraId="78600F00" w14:textId="77777777" w:rsidR="00313FFC" w:rsidRPr="0013502F" w:rsidRDefault="00313FFC" w:rsidP="00527456">
      <w:pPr>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Водоснабжение и водоотведение</w:t>
      </w:r>
    </w:p>
    <w:p w14:paraId="182C5888" w14:textId="77777777" w:rsidR="00D73758" w:rsidRPr="0013502F" w:rsidRDefault="00D73758" w:rsidP="00527456">
      <w:pPr>
        <w:spacing w:after="0" w:line="240" w:lineRule="auto"/>
        <w:ind w:firstLine="709"/>
        <w:jc w:val="center"/>
        <w:rPr>
          <w:rFonts w:ascii="Times New Roman" w:eastAsia="Calibri" w:hAnsi="Times New Roman" w:cs="Times New Roman"/>
          <w:b/>
          <w:sz w:val="28"/>
          <w:szCs w:val="28"/>
        </w:rPr>
      </w:pPr>
    </w:p>
    <w:p w14:paraId="784D11AD" w14:textId="77777777" w:rsidR="00D73758" w:rsidRPr="0013502F" w:rsidRDefault="00D73758"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Организацией, осуществляющей деятельность в области водоснабжения и водоотведения на территории города, является Муниципальное водоканализационное предприятие (далее – МП «Водоканал»).</w:t>
      </w:r>
    </w:p>
    <w:p w14:paraId="3FAC037F" w14:textId="77777777" w:rsidR="00D73758" w:rsidRPr="0013502F" w:rsidRDefault="00D73758" w:rsidP="00527456">
      <w:pPr>
        <w:suppressAutoHyphens/>
        <w:spacing w:after="0" w:line="240" w:lineRule="auto"/>
        <w:ind w:right="142" w:firstLine="709"/>
        <w:jc w:val="both"/>
        <w:rPr>
          <w:rFonts w:ascii="Times New Roman" w:eastAsia="Arial Unicode MS" w:hAnsi="Times New Roman" w:cs="Times New Roman"/>
          <w:kern w:val="2"/>
          <w:sz w:val="28"/>
          <w:szCs w:val="28"/>
          <w:lang w:eastAsia="hi-IN" w:bidi="hi-IN"/>
        </w:rPr>
      </w:pPr>
      <w:r w:rsidRPr="0013502F">
        <w:rPr>
          <w:rFonts w:ascii="Times New Roman" w:eastAsia="Arial Unicode MS" w:hAnsi="Times New Roman" w:cs="Times New Roman"/>
          <w:kern w:val="2"/>
          <w:sz w:val="28"/>
          <w:szCs w:val="28"/>
          <w:lang w:eastAsia="hi-IN" w:bidi="hi-IN"/>
        </w:rPr>
        <w:t>Протяженность канализационных сетей по городу составляет 188,581 км, на балансе МП «Водоканал» находится 110,85 км (самотечных – 69,73км; напорных – 41,121 км).</w:t>
      </w:r>
    </w:p>
    <w:p w14:paraId="450EFD79" w14:textId="77777777" w:rsidR="00D73758" w:rsidRPr="0013502F" w:rsidRDefault="00D73758"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план по добыче воды выполнен на 94,2%. Объем поднятой воды составил 5387,68 тыс. куб. м/год или 14,72 тыс. куб. м/сутки. По данным 2016 года максимальный суточный объем добычи зафиксирован в ноябре месяце – 17,62 тыс. куб. м/сутки, а минимальный суточный объем в июле составил 9,79 тыс. куб. м/сутки, что не превышает разрешенный лицензированный отбор.</w:t>
      </w:r>
    </w:p>
    <w:p w14:paraId="6B1ED8BB" w14:textId="77777777" w:rsidR="00D73758" w:rsidRPr="0013502F" w:rsidRDefault="00D73758"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Общее количество скважин насосной станции первого подъема на водозаборе составляет 19 скважин, из них 11 – действующих (10 высокодебитные и 1 резервная), 8 – наблюдательных.</w:t>
      </w:r>
    </w:p>
    <w:p w14:paraId="196D6C9B" w14:textId="77777777" w:rsidR="00906DAD" w:rsidRPr="0013502F" w:rsidRDefault="00906DAD" w:rsidP="00527456">
      <w:pPr>
        <w:spacing w:after="0" w:line="240" w:lineRule="auto"/>
        <w:ind w:right="142" w:firstLine="709"/>
        <w:jc w:val="right"/>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sz w:val="28"/>
          <w:szCs w:val="28"/>
        </w:rPr>
        <w:t xml:space="preserve">Рисунок </w:t>
      </w:r>
      <w:r w:rsidR="00527456">
        <w:rPr>
          <w:rFonts w:ascii="Times New Roman" w:eastAsia="Calibri" w:hAnsi="Times New Roman" w:cs="Times New Roman"/>
          <w:sz w:val="28"/>
          <w:szCs w:val="28"/>
        </w:rPr>
        <w:t>5</w:t>
      </w:r>
    </w:p>
    <w:p w14:paraId="15EC34BA" w14:textId="77777777" w:rsidR="007948DE" w:rsidRPr="0013502F" w:rsidRDefault="007948DE" w:rsidP="00527456">
      <w:pPr>
        <w:spacing w:after="0" w:line="240" w:lineRule="auto"/>
        <w:ind w:firstLine="709"/>
        <w:jc w:val="both"/>
        <w:rPr>
          <w:rFonts w:ascii="Times New Roman" w:eastAsia="Calibri" w:hAnsi="Times New Roman" w:cs="Times New Roman"/>
          <w:bCs/>
          <w:kern w:val="1"/>
          <w:sz w:val="28"/>
          <w:szCs w:val="28"/>
          <w:lang w:eastAsia="hi-IN" w:bidi="hi-IN"/>
        </w:rPr>
      </w:pPr>
    </w:p>
    <w:p w14:paraId="21AF82D0" w14:textId="77777777" w:rsidR="000722F0" w:rsidRPr="0013502F" w:rsidRDefault="00D73758" w:rsidP="00527456">
      <w:pPr>
        <w:spacing w:after="0" w:line="240" w:lineRule="auto"/>
        <w:ind w:firstLine="709"/>
        <w:jc w:val="both"/>
        <w:rPr>
          <w:rFonts w:ascii="Times New Roman" w:eastAsia="Calibri" w:hAnsi="Times New Roman" w:cs="Times New Roman"/>
          <w:bCs/>
          <w:kern w:val="1"/>
          <w:sz w:val="28"/>
          <w:szCs w:val="28"/>
          <w:lang w:eastAsia="hi-IN" w:bidi="hi-IN"/>
        </w:rPr>
      </w:pPr>
      <w:r w:rsidRPr="0013502F">
        <w:rPr>
          <w:rFonts w:ascii="Times New Roman" w:eastAsia="Arial Unicode MS" w:hAnsi="Times New Roman"/>
          <w:noProof/>
          <w:kern w:val="2"/>
          <w:sz w:val="28"/>
          <w:szCs w:val="28"/>
          <w:lang w:eastAsia="ru-RU"/>
        </w:rPr>
        <w:drawing>
          <wp:inline distT="0" distB="0" distL="0" distR="0" wp14:anchorId="430A89AB" wp14:editId="06503287">
            <wp:extent cx="5915771" cy="2425147"/>
            <wp:effectExtent l="0" t="0" r="0"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3A24BA" w14:textId="77777777" w:rsidR="0087375B" w:rsidRPr="0013502F" w:rsidRDefault="0087375B" w:rsidP="00527456">
      <w:pPr>
        <w:spacing w:after="0" w:line="240" w:lineRule="auto"/>
        <w:ind w:firstLine="709"/>
        <w:jc w:val="both"/>
        <w:rPr>
          <w:rFonts w:ascii="Times New Roman" w:eastAsia="Calibri" w:hAnsi="Times New Roman" w:cs="Times New Roman"/>
          <w:bCs/>
          <w:kern w:val="1"/>
          <w:sz w:val="28"/>
          <w:szCs w:val="28"/>
          <w:lang w:eastAsia="hi-IN" w:bidi="hi-IN"/>
        </w:rPr>
      </w:pPr>
    </w:p>
    <w:p w14:paraId="029FD222" w14:textId="77777777" w:rsidR="000722F0" w:rsidRPr="0013502F" w:rsidRDefault="000722F0" w:rsidP="00527456">
      <w:pPr>
        <w:spacing w:after="0" w:line="240" w:lineRule="auto"/>
        <w:ind w:firstLine="709"/>
        <w:jc w:val="both"/>
        <w:rPr>
          <w:rFonts w:ascii="Times New Roman" w:eastAsia="Calibri" w:hAnsi="Times New Roman" w:cs="Times New Roman"/>
          <w:bCs/>
          <w:kern w:val="1"/>
          <w:sz w:val="28"/>
          <w:szCs w:val="28"/>
          <w:lang w:eastAsia="hi-IN" w:bidi="hi-IN"/>
        </w:rPr>
      </w:pPr>
    </w:p>
    <w:p w14:paraId="484D1EAB"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Объем подачи питьевой воды в 2016 году составил 5149,035 тыс. куб. м/год, что в среднесуточном выражении составляет 14,06 тыс. куб. м/сутки.</w:t>
      </w:r>
    </w:p>
    <w:p w14:paraId="519E686E"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В сравнении с 2015 годом объем подачи воды в 2016 году увеличился на 8,9% (2015 г- 4837,25 тыс.м3, 2016 г-5387,68 тыс.м3 ).</w:t>
      </w:r>
    </w:p>
    <w:p w14:paraId="45191A6E"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Неучтенные потери питьевой воды от общего объема подачи воды в город в 2016 году составили –5,5% (261 тыс. куб. м/год) по сравнению с 2015 годом – 7,04% (365,56 тыс. куб. м/год) наблюдается снижение потерь на 28,6%.</w:t>
      </w:r>
    </w:p>
    <w:p w14:paraId="6F17B8F6"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В 2016 году построено водопроводных сетей общей протяженностью 2,11 км.</w:t>
      </w:r>
    </w:p>
    <w:p w14:paraId="7C1FAEBF"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В течение 2016 года предприятием МП«Водоканал» выполнены следующие мероприятия по поддержанию сетей водоснабжения в исправном состоянии:</w:t>
      </w:r>
    </w:p>
    <w:p w14:paraId="667FDF7A"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lastRenderedPageBreak/>
        <w:t>- ликвидированы 12,9% водоразборных колонок (4 единицы) в связи с переключением потребителей на централизованный водопровод;</w:t>
      </w:r>
    </w:p>
    <w:p w14:paraId="52AD4288"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промыты 18 км. сетей водопровода и 20 км. сетей в стальном исполнении, проложенных совместно с тепловыми сетями;</w:t>
      </w:r>
    </w:p>
    <w:p w14:paraId="5BDE34DF"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отремонтированы 93 водопроводных колодца;</w:t>
      </w:r>
    </w:p>
    <w:p w14:paraId="769F2434"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произведена замена запорной арматуры диаметром до 200 мм. суммарным количеством 21 единица;</w:t>
      </w:r>
    </w:p>
    <w:p w14:paraId="523CCCE2"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выполнена замена 60 пожарных гидрантов нового образца со сроком эксплуатации до 30 лет;</w:t>
      </w:r>
    </w:p>
    <w:p w14:paraId="018CECD2" w14:textId="77777777" w:rsidR="00906DAD" w:rsidRPr="0013502F" w:rsidRDefault="00906DAD" w:rsidP="00527456">
      <w:pPr>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Calibri" w:hAnsi="Times New Roman" w:cs="Times New Roman"/>
          <w:bCs/>
          <w:kern w:val="2"/>
          <w:sz w:val="28"/>
          <w:szCs w:val="28"/>
          <w:lang w:eastAsia="hi-IN" w:bidi="hi-IN"/>
        </w:rPr>
        <w:t>- отремонтированы 3 пожарных гидранта, что составляет 0,5% от общего количества.</w:t>
      </w:r>
    </w:p>
    <w:p w14:paraId="1665EB4A" w14:textId="77777777" w:rsidR="00906DAD" w:rsidRPr="0013502F" w:rsidRDefault="00906DAD" w:rsidP="00527456">
      <w:pPr>
        <w:suppressAutoHyphens/>
        <w:spacing w:after="0" w:line="240" w:lineRule="auto"/>
        <w:ind w:right="142" w:firstLine="567"/>
        <w:jc w:val="both"/>
        <w:rPr>
          <w:rFonts w:ascii="Times New Roman" w:eastAsia="Arial Unicode MS" w:hAnsi="Times New Roman" w:cs="Times New Roman"/>
          <w:kern w:val="2"/>
          <w:sz w:val="28"/>
          <w:szCs w:val="28"/>
          <w:lang w:eastAsia="hi-IN" w:bidi="hi-IN"/>
        </w:rPr>
      </w:pPr>
      <w:r w:rsidRPr="0013502F">
        <w:rPr>
          <w:rFonts w:ascii="Times New Roman" w:eastAsia="Arial Unicode MS" w:hAnsi="Times New Roman" w:cs="Times New Roman"/>
          <w:kern w:val="2"/>
          <w:sz w:val="28"/>
          <w:szCs w:val="28"/>
          <w:lang w:eastAsia="hi-IN" w:bidi="hi-IN"/>
        </w:rPr>
        <w:t>В 2016 году фактический объем принятых, очищенных и сброшенных сточных вод составил 4 830,09 тыс. куб. м/год, среднесуточный приток равен 13,20 тыс. куб. м/сутки (среднечасовой 614,62 куб. м/час), что не превышает проектную производительность канализационно-очистных сооружений.</w:t>
      </w:r>
    </w:p>
    <w:p w14:paraId="5F0035CC" w14:textId="77777777" w:rsidR="00906DAD" w:rsidRPr="0013502F" w:rsidRDefault="00906DAD" w:rsidP="00527456">
      <w:pPr>
        <w:spacing w:after="0" w:line="240" w:lineRule="auto"/>
        <w:ind w:firstLine="709"/>
        <w:jc w:val="center"/>
        <w:rPr>
          <w:rFonts w:ascii="Times New Roman" w:eastAsia="Calibri" w:hAnsi="Times New Roman" w:cs="Times New Roman"/>
          <w:b/>
          <w:sz w:val="28"/>
          <w:szCs w:val="28"/>
        </w:rPr>
      </w:pPr>
    </w:p>
    <w:p w14:paraId="261CB621" w14:textId="77777777" w:rsidR="00313FFC" w:rsidRPr="0013502F" w:rsidRDefault="00313FFC" w:rsidP="00527456">
      <w:pPr>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Теплоснабжение</w:t>
      </w:r>
    </w:p>
    <w:p w14:paraId="3683D812" w14:textId="77777777" w:rsidR="00906DAD" w:rsidRPr="0013502F" w:rsidRDefault="00906DAD" w:rsidP="00527456">
      <w:pPr>
        <w:spacing w:after="0" w:line="240" w:lineRule="auto"/>
        <w:ind w:firstLine="709"/>
        <w:jc w:val="center"/>
        <w:rPr>
          <w:rFonts w:ascii="Times New Roman" w:eastAsia="Calibri" w:hAnsi="Times New Roman" w:cs="Times New Roman"/>
          <w:b/>
          <w:sz w:val="28"/>
          <w:szCs w:val="28"/>
        </w:rPr>
      </w:pPr>
    </w:p>
    <w:p w14:paraId="7B04FA56"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Обеспечение отоплением и горячим водоснабжением более 90% потребителей города осуществляется акционерным обществом «Управление теплоснабжения и инженерных сетей» (АО УТС).</w:t>
      </w:r>
    </w:p>
    <w:p w14:paraId="0904A03E"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Протяженность действующих сетей теплоснабжения города составляет 139 км. (2015 год – 138,3 км.), сетей горячего водоснабжения 22 км (2015 год – 21,3 км.).</w:t>
      </w:r>
    </w:p>
    <w:p w14:paraId="11842CB0"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Объем подачи тепловой энергии в 2016 году составил 483 536,5 Гкал (2015 год - 482 257,3 Гкал), что на 0,27 % больше аналогичного периода отопительного сезона 2014-2015 годов. </w:t>
      </w:r>
    </w:p>
    <w:p w14:paraId="16B31E54"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2016 году тепловая энергия производилась на 56 котельных (2015 год – 55 котельных), из них 48 котельных (2015 год – 47 котельных) оснащены системой диспетчерского контроля. Автоматизированная система диспетчерского контроля обеспечивает бесперебойную работу котельных установок без постоянного присутствия персонала на них. </w:t>
      </w:r>
    </w:p>
    <w:p w14:paraId="709F2D71"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В целях модернизации сетей теплоснабжения в 2016 году направлено  средств бюджета Ханты-Мансийского автономного округа – Югры в размере 50,13 млн. руб., что позволило выполнить ремонт сетей теплоснабжения и водоснабжения на общую сумму 90,10 млн. руб. по 27 адресам, в следующих объемах:</w:t>
      </w:r>
    </w:p>
    <w:p w14:paraId="259F3958"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замена ветхих (аварийных) сетей теплоснабжения 3,0315 км. (2015 год – 3,55 км.);</w:t>
      </w:r>
    </w:p>
    <w:p w14:paraId="6867B105"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замена сетей водоснабжения 2,003 км. (2015 – 1,5 км.);</w:t>
      </w:r>
    </w:p>
    <w:p w14:paraId="6CFEF4AA" w14:textId="77777777" w:rsidR="00906DAD" w:rsidRPr="0013502F" w:rsidRDefault="00906DAD" w:rsidP="00527456">
      <w:pPr>
        <w:suppressAutoHyphens/>
        <w:spacing w:after="0" w:line="240" w:lineRule="auto"/>
        <w:ind w:right="142" w:firstLine="567"/>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 замена сетей горячего водоснабжения 1,53 км. (в 2015 – 0,62 км.). </w:t>
      </w:r>
    </w:p>
    <w:p w14:paraId="2975B3BB" w14:textId="77777777" w:rsidR="009824C1" w:rsidRDefault="009824C1"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p>
    <w:p w14:paraId="0BFD1486" w14:textId="77777777" w:rsidR="00313FFC" w:rsidRPr="0013502F" w:rsidRDefault="00906DAD"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cs="Times New Roman"/>
          <w:kern w:val="1"/>
          <w:sz w:val="28"/>
          <w:szCs w:val="28"/>
          <w:lang w:eastAsia="hi-IN" w:bidi="hi-IN"/>
        </w:rPr>
        <w:t>Рисунок</w:t>
      </w:r>
      <w:r w:rsidR="00313FFC" w:rsidRPr="0013502F">
        <w:rPr>
          <w:rFonts w:ascii="Times New Roman" w:eastAsia="Arial Unicode MS" w:hAnsi="Times New Roman" w:cs="Times New Roman"/>
          <w:kern w:val="1"/>
          <w:sz w:val="28"/>
          <w:szCs w:val="28"/>
          <w:lang w:eastAsia="hi-IN" w:bidi="hi-IN"/>
        </w:rPr>
        <w:t xml:space="preserve"> </w:t>
      </w:r>
      <w:r w:rsidR="00527456">
        <w:rPr>
          <w:rFonts w:ascii="Times New Roman" w:eastAsia="Arial Unicode MS" w:hAnsi="Times New Roman" w:cs="Times New Roman"/>
          <w:kern w:val="1"/>
          <w:sz w:val="28"/>
          <w:szCs w:val="28"/>
          <w:lang w:eastAsia="hi-IN" w:bidi="hi-IN"/>
        </w:rPr>
        <w:t>6</w:t>
      </w:r>
    </w:p>
    <w:p w14:paraId="009472AC" w14:textId="77777777" w:rsidR="00906DAD" w:rsidRPr="0013502F" w:rsidRDefault="00906DAD"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r w:rsidRPr="0013502F">
        <w:rPr>
          <w:rFonts w:ascii="Times New Roman" w:eastAsia="Calibri" w:hAnsi="Times New Roman" w:cs="Times New Roman"/>
          <w:i/>
          <w:noProof/>
          <w:sz w:val="28"/>
          <w:szCs w:val="28"/>
          <w:lang w:eastAsia="ru-RU"/>
        </w:rPr>
        <w:lastRenderedPageBreak/>
        <w:drawing>
          <wp:inline distT="0" distB="0" distL="0" distR="0" wp14:anchorId="4DAF0A82" wp14:editId="4F32F02C">
            <wp:extent cx="4577861" cy="2571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6279" cy="2570861"/>
                    </a:xfrm>
                    <a:prstGeom prst="rect">
                      <a:avLst/>
                    </a:prstGeom>
                    <a:noFill/>
                    <a:ln>
                      <a:noFill/>
                    </a:ln>
                  </pic:spPr>
                </pic:pic>
              </a:graphicData>
            </a:graphic>
          </wp:inline>
        </w:drawing>
      </w:r>
    </w:p>
    <w:p w14:paraId="59FFF1BF" w14:textId="77777777" w:rsidR="00906DAD" w:rsidRPr="0013502F" w:rsidRDefault="00906DAD"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p>
    <w:p w14:paraId="10314E5F" w14:textId="77777777" w:rsidR="00313FFC" w:rsidRPr="0013502F" w:rsidRDefault="00313FFC" w:rsidP="00527456">
      <w:pPr>
        <w:tabs>
          <w:tab w:val="left" w:pos="180"/>
        </w:tabs>
        <w:suppressAutoHyphens/>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Электроснабжение</w:t>
      </w:r>
    </w:p>
    <w:p w14:paraId="4E9850ED" w14:textId="77777777" w:rsidR="00906DAD" w:rsidRPr="0013502F" w:rsidRDefault="00906DAD" w:rsidP="00527456">
      <w:pPr>
        <w:tabs>
          <w:tab w:val="left" w:pos="180"/>
        </w:tabs>
        <w:suppressAutoHyphens/>
        <w:spacing w:after="0" w:line="240" w:lineRule="auto"/>
        <w:ind w:firstLine="709"/>
        <w:jc w:val="center"/>
        <w:rPr>
          <w:rFonts w:ascii="Times New Roman" w:eastAsia="Calibri" w:hAnsi="Times New Roman" w:cs="Times New Roman"/>
          <w:b/>
          <w:sz w:val="28"/>
          <w:szCs w:val="28"/>
        </w:rPr>
      </w:pPr>
    </w:p>
    <w:p w14:paraId="446579B3"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Электроснабжение города Ханты-Мансийска осуществляется от 4 подстанций (далее по тексту – ПС) (ПС «Ханты-Мансийская», ПС «Авангард», ПС «Самарово», ПС «Западная»)</w:t>
      </w:r>
    </w:p>
    <w:p w14:paraId="03FAAD8F" w14:textId="77777777" w:rsidR="00906DAD" w:rsidRPr="0013502F" w:rsidRDefault="00906DAD" w:rsidP="00527456">
      <w:pPr>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2016 году аварийных технологических нарушений в системе электроснабжения города не зафиксировано. </w:t>
      </w:r>
    </w:p>
    <w:p w14:paraId="42E0FF25" w14:textId="77777777" w:rsidR="00906DAD" w:rsidRPr="0013502F" w:rsidRDefault="00906DAD" w:rsidP="00527456">
      <w:pPr>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городе Ханты-Мансийске 352 шт. распределительных пунктов (далее – РП) и трансформаторных подстанций (далее – ТП). </w:t>
      </w:r>
    </w:p>
    <w:p w14:paraId="4CA9111F"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Times New Roman" w:hAnsi="Times New Roman" w:cs="Times New Roman"/>
          <w:sz w:val="28"/>
          <w:szCs w:val="28"/>
          <w:lang w:eastAsia="zh-CN"/>
        </w:rPr>
        <w:t>Общее количество отключений в сетях 10 кВт. в 2016 году сократилось на 16,6% и составило 35 отключений (2015 год - 42 отключений). Недоотпуск  электроэнергии из-за аварийных отключений уменьшился на 158 тыс.кВт/час.</w:t>
      </w:r>
    </w:p>
    <w:p w14:paraId="0D02B492" w14:textId="77777777" w:rsidR="000722F0" w:rsidRPr="0013502F" w:rsidRDefault="000722F0" w:rsidP="00527456">
      <w:pPr>
        <w:tabs>
          <w:tab w:val="left" w:pos="180"/>
        </w:tabs>
        <w:suppressAutoHyphens/>
        <w:spacing w:after="0" w:line="240" w:lineRule="auto"/>
        <w:ind w:firstLine="709"/>
        <w:jc w:val="both"/>
        <w:rPr>
          <w:rFonts w:ascii="Times New Roman" w:eastAsia="Times New Roman" w:hAnsi="Times New Roman" w:cs="Times New Roman"/>
          <w:sz w:val="28"/>
          <w:szCs w:val="28"/>
          <w:lang w:eastAsia="zh-CN"/>
        </w:rPr>
      </w:pPr>
    </w:p>
    <w:p w14:paraId="3BD60481" w14:textId="77777777" w:rsidR="00313FFC" w:rsidRPr="0013502F" w:rsidRDefault="00313FFC" w:rsidP="00527456">
      <w:pPr>
        <w:widowControl w:val="0"/>
        <w:spacing w:after="0" w:line="240" w:lineRule="auto"/>
        <w:ind w:firstLine="709"/>
        <w:jc w:val="right"/>
        <w:rPr>
          <w:rFonts w:ascii="Times New Roman" w:eastAsia="Calibri" w:hAnsi="Times New Roman" w:cs="Times New Roman"/>
          <w:sz w:val="28"/>
          <w:szCs w:val="28"/>
        </w:rPr>
      </w:pPr>
      <w:r w:rsidRPr="0013502F">
        <w:rPr>
          <w:rFonts w:ascii="Times New Roman" w:eastAsia="Calibri" w:hAnsi="Times New Roman" w:cs="Times New Roman"/>
          <w:sz w:val="28"/>
          <w:szCs w:val="28"/>
        </w:rPr>
        <w:t>Р</w:t>
      </w:r>
      <w:r w:rsidR="00906DAD" w:rsidRPr="0013502F">
        <w:rPr>
          <w:rFonts w:ascii="Times New Roman" w:eastAsia="Calibri" w:hAnsi="Times New Roman" w:cs="Times New Roman"/>
          <w:sz w:val="28"/>
          <w:szCs w:val="28"/>
        </w:rPr>
        <w:t>исунок</w:t>
      </w:r>
      <w:r w:rsidRPr="0013502F">
        <w:rPr>
          <w:rFonts w:ascii="Times New Roman" w:eastAsia="Calibri" w:hAnsi="Times New Roman" w:cs="Times New Roman"/>
          <w:sz w:val="28"/>
          <w:szCs w:val="28"/>
        </w:rPr>
        <w:t xml:space="preserve"> </w:t>
      </w:r>
      <w:r w:rsidR="00527456">
        <w:rPr>
          <w:rFonts w:ascii="Times New Roman" w:eastAsia="Calibri" w:hAnsi="Times New Roman" w:cs="Times New Roman"/>
          <w:sz w:val="28"/>
          <w:szCs w:val="28"/>
        </w:rPr>
        <w:t>7</w:t>
      </w:r>
    </w:p>
    <w:p w14:paraId="1C779CEF" w14:textId="77777777" w:rsidR="00906DAD" w:rsidRPr="0013502F" w:rsidRDefault="00906DAD" w:rsidP="00527456">
      <w:pPr>
        <w:widowControl w:val="0"/>
        <w:spacing w:after="0" w:line="240" w:lineRule="auto"/>
        <w:ind w:firstLine="709"/>
        <w:jc w:val="center"/>
        <w:rPr>
          <w:rFonts w:ascii="Times New Roman" w:eastAsia="Calibri" w:hAnsi="Times New Roman" w:cs="Times New Roman"/>
          <w:sz w:val="28"/>
          <w:szCs w:val="28"/>
        </w:rPr>
      </w:pPr>
      <w:r w:rsidRPr="0013502F">
        <w:rPr>
          <w:rFonts w:ascii="Times New Roman" w:eastAsia="Calibri" w:hAnsi="Times New Roman" w:cs="Times New Roman"/>
          <w:noProof/>
          <w:sz w:val="28"/>
          <w:szCs w:val="28"/>
          <w:lang w:eastAsia="ru-RU"/>
        </w:rPr>
        <w:drawing>
          <wp:inline distT="0" distB="0" distL="0" distR="0" wp14:anchorId="7034A4BE" wp14:editId="2EA10848">
            <wp:extent cx="5514975" cy="27717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988" cy="2779823"/>
                    </a:xfrm>
                    <a:prstGeom prst="rect">
                      <a:avLst/>
                    </a:prstGeom>
                    <a:noFill/>
                    <a:ln>
                      <a:noFill/>
                    </a:ln>
                  </pic:spPr>
                </pic:pic>
              </a:graphicData>
            </a:graphic>
          </wp:inline>
        </w:drawing>
      </w:r>
    </w:p>
    <w:p w14:paraId="33CC4F06" w14:textId="77777777" w:rsidR="00313FFC" w:rsidRPr="0013502F" w:rsidRDefault="00313FFC" w:rsidP="00527456">
      <w:pPr>
        <w:spacing w:after="0" w:line="240" w:lineRule="auto"/>
        <w:ind w:firstLine="709"/>
        <w:rPr>
          <w:rFonts w:ascii="Calibri" w:eastAsia="Calibri" w:hAnsi="Calibri" w:cs="Times New Roman"/>
        </w:rPr>
      </w:pPr>
    </w:p>
    <w:p w14:paraId="4000569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В связи с развитием города наблюдается непрерывный рост нагрузок в системе электроснабжения города Ханты–Мансийска. Максимальная нагрузка в осенне-зимний период (далее – ОЗП) 2015-2016г.г. по отношению к ОЗП 2014-</w:t>
      </w:r>
      <w:r w:rsidRPr="0013502F">
        <w:rPr>
          <w:rFonts w:ascii="Times New Roman" w:eastAsia="Times New Roman" w:hAnsi="Times New Roman" w:cs="Times New Roman"/>
          <w:sz w:val="28"/>
          <w:szCs w:val="28"/>
          <w:lang w:eastAsia="zh-CN"/>
        </w:rPr>
        <w:lastRenderedPageBreak/>
        <w:t xml:space="preserve">2015 г.г. увеличилась на 4,2 МВт (+4,25%) и составила 98,6 МВт. (93,3 % разрешенной мощности). </w:t>
      </w:r>
    </w:p>
    <w:p w14:paraId="6807E980"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В 2016 году построены  новые  электроустановки:</w:t>
      </w:r>
    </w:p>
    <w:p w14:paraId="1295C83E"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 xml:space="preserve">ТП-10/0,4кВ –– 4 шт. </w:t>
      </w:r>
    </w:p>
    <w:p w14:paraId="172FA5DA"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воздушных линий 10кВ – 0,7км</w:t>
      </w:r>
    </w:p>
    <w:p w14:paraId="19FA5FE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воздушных линий 0,4кВ– 10 км</w:t>
      </w:r>
    </w:p>
    <w:p w14:paraId="353F0F18"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кабельных линий 10кВ – 19,8 км</w:t>
      </w:r>
    </w:p>
    <w:p w14:paraId="4F32D932"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кабельных линий 0,4кВ – 5,27 км</w:t>
      </w:r>
    </w:p>
    <w:p w14:paraId="6CC325F5"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 демонтированы электроустановки: </w:t>
      </w:r>
    </w:p>
    <w:p w14:paraId="15941D32"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воздушных линий – 3км.</w:t>
      </w:r>
    </w:p>
    <w:p w14:paraId="6E30BDE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выполнен капитальный ремонт строительной части и кровли на 9 РП и ТП.</w:t>
      </w:r>
    </w:p>
    <w:p w14:paraId="5EF3718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установлена система телемеханики на ТП/РП-10/0,4кВ – 8 шт.</w:t>
      </w:r>
    </w:p>
    <w:p w14:paraId="3C585EF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построены и введены в работу системы электроснабжения следующих объектов:</w:t>
      </w:r>
    </w:p>
    <w:p w14:paraId="25408978"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котельные 151 кВт - 3 шт; </w:t>
      </w:r>
    </w:p>
    <w:p w14:paraId="37E6829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многоквартирные жилые дома (жилые комплексы) – 15 шт.;</w:t>
      </w:r>
    </w:p>
    <w:p w14:paraId="212D4F20"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жилой квартал «Заречный» по ул. Конева на 411 кВт.;</w:t>
      </w:r>
    </w:p>
    <w:p w14:paraId="624137C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здание для размещения мировых судей и аппаратов судебных участков на 60 кВт.</w:t>
      </w:r>
    </w:p>
    <w:p w14:paraId="7B065749"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мобильный снегоплавильный пункт на 60 кВт.;</w:t>
      </w:r>
    </w:p>
    <w:p w14:paraId="3D4F84F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детский сад на 300 мест на 330 кВт.;</w:t>
      </w:r>
    </w:p>
    <w:p w14:paraId="2EAD5598"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медицинский центр ул. Калинина на 29,5 кВт.;</w:t>
      </w:r>
    </w:p>
    <w:p w14:paraId="4AB97BD7"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административное здание ул. Энгельса, на 37,28 кВт.;</w:t>
      </w:r>
    </w:p>
    <w:p w14:paraId="48D0B5D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детский сад на 200 мест ул. Сирина 72 на 225 кВт.</w:t>
      </w:r>
    </w:p>
    <w:p w14:paraId="09DD68B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Содержание, ремонт и обслуживание линий уличного освещения, подсветки на территории города осуществляет муниципальное бюджетное учреждение (МБУ) «Горсвет».</w:t>
      </w:r>
    </w:p>
    <w:p w14:paraId="0E077D11"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bCs/>
          <w:sz w:val="28"/>
          <w:szCs w:val="28"/>
        </w:rPr>
        <w:t>На обслуживании МБУ «Горсвет»</w:t>
      </w:r>
      <w:r w:rsidRPr="0013502F">
        <w:rPr>
          <w:rFonts w:ascii="Times New Roman" w:eastAsia="Calibri" w:hAnsi="Times New Roman" w:cs="Times New Roman"/>
          <w:sz w:val="28"/>
          <w:szCs w:val="28"/>
        </w:rPr>
        <w:t xml:space="preserve"> находятся следующие объекты наружного освещения:</w:t>
      </w:r>
    </w:p>
    <w:p w14:paraId="5055B251"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светоточек наружного освещения –  10464 св.т. (2015 год - 9479 св.т.); </w:t>
      </w:r>
    </w:p>
    <w:p w14:paraId="02A6AFA9"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архитектурно-художественной подсветки, праздничная иллюминация, световые короба, щитовые конструкции, панель-кронштейны, праздничные украшения и аншлаги почтовой нумерации -  15770 св.т. (2015 год - 13803 св.т.);</w:t>
      </w:r>
    </w:p>
    <w:p w14:paraId="4FAD9EE4"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комплекты автоматизации освещения нерегулируемых пешеходных переходов (сигнальные фонари) - 116 св.т. (2015 год - 58 св.т.);</w:t>
      </w:r>
    </w:p>
    <w:p w14:paraId="52B56905"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кабельных и воздушных линий – 424,442 км. (2015 год – 417,266 км.); </w:t>
      </w:r>
    </w:p>
    <w:p w14:paraId="148ACDA5"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пунктов питания наружного освещения - 173 п.п.;</w:t>
      </w:r>
    </w:p>
    <w:p w14:paraId="2BFFEAD7"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флажков-ветерков - 220 шт.;</w:t>
      </w:r>
    </w:p>
    <w:p w14:paraId="13E100EA"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панель-кронштейнов на опорах освещения - 215 шт.;</w:t>
      </w:r>
    </w:p>
    <w:p w14:paraId="277F0FAF" w14:textId="77777777" w:rsidR="007576D2" w:rsidRDefault="00906DAD" w:rsidP="007576D2">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флагов расцвечивания - 56 шт.</w:t>
      </w:r>
    </w:p>
    <w:p w14:paraId="5081F675" w14:textId="77777777" w:rsidR="007576D2"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В целях повышения энергосбережения (понижения потребляемой мощности), в 2016 году продолжено внедрение управляемых электронных пускорегулирующих аппаратов ЭПРАН для светильников с натриевыми газоразрядными  лампами  с возможностью  управления наружным освещением в вечернем и ночном режимах. Общее количество установленных ЭПРАН-250, 400 в светильниках ЖКУ мощностью 250Вт, 400Вт  составляет 959 шт. (в 2015 </w:t>
      </w:r>
      <w:r w:rsidRPr="0013502F">
        <w:rPr>
          <w:rFonts w:ascii="Times New Roman" w:eastAsia="Calibri" w:hAnsi="Times New Roman" w:cs="Times New Roman"/>
          <w:sz w:val="28"/>
          <w:szCs w:val="28"/>
        </w:rPr>
        <w:lastRenderedPageBreak/>
        <w:t>году – 295 шт.), что составляет 15% замены от общего количества светильников ЖКУ с лампами мощностью 250Вт, 400 Вт.</w:t>
      </w:r>
    </w:p>
    <w:p w14:paraId="48106CCE" w14:textId="77777777" w:rsidR="007576D2"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введены новые объекты (ул. Югорская, ул. Строителей от ул. Мира до ул. Студенческая, ул. Урожайная, ул. Конева, ул. Еловая, ул. Новогодняя, пер. Бобровский, микрорайон «Югорская звезда») с применением современных светодиодных светильников.</w:t>
      </w:r>
    </w:p>
    <w:p w14:paraId="54EF22CF" w14:textId="77777777" w:rsidR="007576D2"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В 2017 году планируется продолжить установку ЭПРАН в светильниках ЖКУ мощностью 400, 250, 150 и 100Вт в количестве 2260шт. что позволит сэкономить 23% электроэнергии. </w:t>
      </w:r>
    </w:p>
    <w:p w14:paraId="3A66C1CF" w14:textId="75173CDB" w:rsidR="00906DAD" w:rsidRPr="0013502F"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целях безопасности пешеходов в 2016 году установлены комплекты автоматизации нерегулируемых пешеходных переходов вблизи детских образовательных учреждений по 23 адресам.</w:t>
      </w:r>
    </w:p>
    <w:p w14:paraId="1325F3A6" w14:textId="77777777" w:rsidR="001B4CDD" w:rsidRPr="0013502F" w:rsidRDefault="001B4CDD" w:rsidP="00527456">
      <w:pPr>
        <w:spacing w:after="0" w:line="240" w:lineRule="auto"/>
        <w:ind w:firstLine="709"/>
        <w:jc w:val="center"/>
        <w:rPr>
          <w:rFonts w:ascii="Times New Roman" w:eastAsia="Calibri" w:hAnsi="Times New Roman" w:cs="Times New Roman"/>
          <w:b/>
          <w:sz w:val="28"/>
          <w:szCs w:val="28"/>
        </w:rPr>
      </w:pPr>
    </w:p>
    <w:p w14:paraId="3200EBCA" w14:textId="77777777" w:rsidR="00313FFC" w:rsidRPr="0013502F" w:rsidRDefault="00313FFC" w:rsidP="00527456">
      <w:pPr>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Газоснабжение</w:t>
      </w:r>
    </w:p>
    <w:p w14:paraId="68627EF8" w14:textId="77777777" w:rsidR="00906DAD" w:rsidRPr="0013502F" w:rsidRDefault="00906DAD" w:rsidP="00527456">
      <w:pPr>
        <w:spacing w:after="0" w:line="240" w:lineRule="auto"/>
        <w:ind w:firstLine="709"/>
        <w:jc w:val="center"/>
        <w:rPr>
          <w:rFonts w:ascii="Times New Roman" w:eastAsia="Calibri" w:hAnsi="Times New Roman" w:cs="Times New Roman"/>
          <w:b/>
          <w:sz w:val="28"/>
          <w:szCs w:val="28"/>
        </w:rPr>
      </w:pPr>
    </w:p>
    <w:p w14:paraId="25ADE116"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муниципальным предприятием «Ханты-Мансийскгаз» (далее МП  «Ханты-Мансийскгаз») обеспечена транспортировка природного газа в объеме 119,5 млн</w:t>
      </w:r>
      <w:r w:rsidR="009B765C">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куб. м (2015 год – 119,6млн</w:t>
      </w:r>
      <w:r w:rsidR="009B765C">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куб. м). Общая протяженность сетей газоснабжения, находящихся на обслуживании, составляет 271,08 км. (2015 год - 267,91 км). </w:t>
      </w:r>
    </w:p>
    <w:p w14:paraId="1AA0DF89"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Также МП «Ханты-Мансийскгаз» осуществляет поставку теплоснабжения и горячего водоснабжения потребителям города. За отчетный период предприятием отпущено тепловой энергии в количестве   34 342,5 Гкал (2015 год – 33 357,6 горячей воды в объеме 6 137,0 куб. м. (2015 год - 5 243,0 куб. м.). На балансе предприятия находится 2,182 км. сетей теплоснабжения и 1 км. Сетей горячего водоснабжения.</w:t>
      </w:r>
    </w:p>
    <w:p w14:paraId="28AC5CBE" w14:textId="77777777" w:rsidR="00FD05FA" w:rsidRPr="0013502F" w:rsidRDefault="00FD05FA"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p>
    <w:p w14:paraId="776EB3EB" w14:textId="77777777" w:rsidR="00313FFC" w:rsidRPr="0013502F" w:rsidRDefault="00906DAD"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cs="Times New Roman"/>
          <w:kern w:val="1"/>
          <w:sz w:val="28"/>
          <w:szCs w:val="28"/>
          <w:lang w:eastAsia="hi-IN" w:bidi="hi-IN"/>
        </w:rPr>
        <w:t>Рисунок</w:t>
      </w:r>
      <w:r w:rsidR="00313FFC" w:rsidRPr="0013502F">
        <w:rPr>
          <w:rFonts w:ascii="Times New Roman" w:eastAsia="Arial Unicode MS" w:hAnsi="Times New Roman" w:cs="Times New Roman"/>
          <w:kern w:val="1"/>
          <w:sz w:val="28"/>
          <w:szCs w:val="28"/>
          <w:lang w:eastAsia="hi-IN" w:bidi="hi-IN"/>
        </w:rPr>
        <w:t xml:space="preserve"> </w:t>
      </w:r>
      <w:r w:rsidR="00527456">
        <w:rPr>
          <w:rFonts w:ascii="Times New Roman" w:eastAsia="Arial Unicode MS" w:hAnsi="Times New Roman" w:cs="Times New Roman"/>
          <w:kern w:val="1"/>
          <w:sz w:val="28"/>
          <w:szCs w:val="28"/>
          <w:lang w:eastAsia="hi-IN" w:bidi="hi-IN"/>
        </w:rPr>
        <w:t>8</w:t>
      </w:r>
    </w:p>
    <w:p w14:paraId="6CF948D6" w14:textId="77777777" w:rsidR="00313FFC" w:rsidRPr="0013502F" w:rsidRDefault="00313FFC"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cs="Times New Roman"/>
          <w:kern w:val="1"/>
          <w:sz w:val="28"/>
          <w:szCs w:val="28"/>
          <w:lang w:eastAsia="hi-IN" w:bidi="hi-IN"/>
        </w:rPr>
        <w:t>Обеспеченность жилищного фонда газом, %</w:t>
      </w:r>
    </w:p>
    <w:p w14:paraId="326C2D5C" w14:textId="77777777" w:rsidR="00313FFC" w:rsidRPr="0013502F" w:rsidRDefault="00906DAD"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noProof/>
          <w:kern w:val="1"/>
          <w:sz w:val="28"/>
          <w:szCs w:val="28"/>
          <w:lang w:eastAsia="ru-RU"/>
        </w:rPr>
        <w:drawing>
          <wp:inline distT="0" distB="0" distL="0" distR="0" wp14:anchorId="72C7845A" wp14:editId="6B2D547F">
            <wp:extent cx="4057650" cy="2266950"/>
            <wp:effectExtent l="0" t="0" r="0" b="0"/>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14E062"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МП «Ханты-Мансийскгаз» обслуживает 22 котельных установки (2015 год – 20). </w:t>
      </w:r>
    </w:p>
    <w:p w14:paraId="6AF1181E"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В рамках подготовки к осенне-зимнему периоду осуществлена подготовка - 271,08 км. (в 2015 году – 267,91 км.) газопроводов разных давлений и установленных на них сооружений, находящихся в муниципальной </w:t>
      </w:r>
      <w:r w:rsidRPr="0013502F">
        <w:rPr>
          <w:rFonts w:ascii="Times New Roman" w:eastAsia="Calibri" w:hAnsi="Times New Roman" w:cs="Times New Roman"/>
          <w:sz w:val="28"/>
          <w:szCs w:val="28"/>
        </w:rPr>
        <w:lastRenderedPageBreak/>
        <w:t xml:space="preserve">собственности, обслуживаемых на договорных отношениях, а также бесхозяйных газопроводов. </w:t>
      </w:r>
    </w:p>
    <w:p w14:paraId="3E37354E"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МП «Ханты-Мансийскгаз» выполнены следующие работы:</w:t>
      </w:r>
    </w:p>
    <w:p w14:paraId="6704B54B"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произведен текущий ремонт 12 головных газорегуляторных пунктов и 135 квартальных и домовых газораспределительных пунктов шкафного типа;</w:t>
      </w:r>
    </w:p>
    <w:p w14:paraId="3AABF4C9"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выполнен текущий ремонт 6-ти станций катодной защиты стальных газопроводов высокого давления;</w:t>
      </w:r>
    </w:p>
    <w:p w14:paraId="71DA8421"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выполнен текущий ремонт 157 отключающих устройств;</w:t>
      </w:r>
    </w:p>
    <w:p w14:paraId="670BE045"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окрашено более 1,4 км распределительных надземных газопроводов и 260 метров фасадных газопроводов;</w:t>
      </w:r>
    </w:p>
    <w:p w14:paraId="4DA7A1B0"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произведены работы по обваловыванию 30 метров газопроводов и подсыпке 10 крановых узлов, установке указателей, осмотру состояния стальных газопроводов методом шурфования;</w:t>
      </w:r>
    </w:p>
    <w:p w14:paraId="32F2C8FC"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произведена замена выработавших ресурс циркуляционных и подпиточных насосов на котельных: "Детский сад Незнайка", "Ляминская РЭБ", "Городское кладбище", "Котельной ОТРК Югра", "Временные общежития ПУ-10", "Дунина Горкавича д.5 и д.7".</w:t>
      </w:r>
    </w:p>
    <w:p w14:paraId="2715428A"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-заменены участки теплотрассы протяженностью 50 м. на котельной «Студенческий городок». </w:t>
      </w:r>
    </w:p>
    <w:p w14:paraId="75A67D8C"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МП «Ханты-Мансийскгаз» в 2016 году газифицированы 244 объекта (2015 год – 205), в том числе 84 многоквартирных жилых дома и 155 индивидуальных жилых домов, 5 объектов юридических лиц. Реконструированы 2 объекта сетей газопотребления юридических лиц и 12 физических лиц.</w:t>
      </w:r>
    </w:p>
    <w:p w14:paraId="0F2B66C3"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6  многоквартирных жилых домов (73 квартиры) переведены со сжиженного на природный газ.</w:t>
      </w:r>
    </w:p>
    <w:p w14:paraId="0F1206E8"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МП «Ханты-Мансийскгаз» осуществляет техническое обслуживание внутридомового газового оборудования 11 447 абонентов, или 80 % от общего количества абонентов (14 323). Обслуживание остальных 20% осуществляются иными специализированными организациями. За 2016 год реализованы 1401,0 тонны сжиженного газа (2015 год – 1056,26 тонны).</w:t>
      </w:r>
    </w:p>
    <w:p w14:paraId="419FB15F" w14:textId="77777777" w:rsidR="00313FFC" w:rsidRPr="0013502F" w:rsidRDefault="00313FFC" w:rsidP="00527456">
      <w:pPr>
        <w:spacing w:after="0" w:line="240" w:lineRule="auto"/>
        <w:ind w:firstLine="709"/>
        <w:jc w:val="both"/>
        <w:rPr>
          <w:rFonts w:ascii="Times New Roman" w:eastAsia="Calibri" w:hAnsi="Times New Roman" w:cs="Times New Roman"/>
          <w:sz w:val="28"/>
          <w:szCs w:val="28"/>
        </w:rPr>
      </w:pPr>
    </w:p>
    <w:p w14:paraId="2664611B" w14:textId="77777777" w:rsidR="00313FFC" w:rsidRPr="0013502F" w:rsidRDefault="00313FFC" w:rsidP="00527456">
      <w:pPr>
        <w:spacing w:after="0" w:line="240" w:lineRule="auto"/>
        <w:ind w:firstLine="709"/>
        <w:jc w:val="both"/>
        <w:rPr>
          <w:rFonts w:ascii="Times New Roman" w:eastAsia="Calibri" w:hAnsi="Times New Roman" w:cs="Times New Roman"/>
          <w:sz w:val="28"/>
          <w:szCs w:val="28"/>
        </w:rPr>
      </w:pPr>
    </w:p>
    <w:bookmarkEnd w:id="0"/>
    <w:bookmarkEnd w:id="1"/>
    <w:p w14:paraId="73EE093E" w14:textId="77777777" w:rsidR="00FC6D12" w:rsidRPr="0013502F" w:rsidRDefault="00FC6D12" w:rsidP="00527456">
      <w:pPr>
        <w:pStyle w:val="1"/>
        <w:spacing w:before="0" w:line="240" w:lineRule="auto"/>
        <w:ind w:firstLine="709"/>
        <w:jc w:val="center"/>
        <w:rPr>
          <w:rFonts w:ascii="Times New Roman" w:eastAsia="Times New Roman" w:hAnsi="Times New Roman" w:cs="Times New Roman"/>
          <w:i/>
          <w:lang w:val="x-none" w:eastAsia="x-none"/>
        </w:rPr>
        <w:sectPr w:rsidR="00FC6D12" w:rsidRPr="0013502F" w:rsidSect="00DC1628">
          <w:footerReference w:type="default" r:id="rId18"/>
          <w:pgSz w:w="11906" w:h="16838"/>
          <w:pgMar w:top="709" w:right="851" w:bottom="851" w:left="1134" w:header="708" w:footer="708" w:gutter="0"/>
          <w:cols w:space="708"/>
          <w:titlePg/>
          <w:docGrid w:linePitch="360"/>
        </w:sectPr>
      </w:pPr>
    </w:p>
    <w:p w14:paraId="0DE597D2"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bookmarkStart w:id="5" w:name="Par466"/>
      <w:bookmarkEnd w:id="5"/>
      <w:r w:rsidRPr="0013502F">
        <w:rPr>
          <w:rFonts w:ascii="Times New Roman" w:hAnsi="Times New Roman" w:cs="Times New Roman"/>
          <w:sz w:val="28"/>
          <w:szCs w:val="28"/>
        </w:rPr>
        <w:lastRenderedPageBreak/>
        <w:t>Информация о состоянии жилищного фонда в городских округах и муниципальных районах</w:t>
      </w:r>
    </w:p>
    <w:p w14:paraId="3BFE165A"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Ханты-Мансийского автономного округа - Югры за отчетный период, кв. метров</w:t>
      </w:r>
    </w:p>
    <w:p w14:paraId="1DAC43FA"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u w:val="single"/>
        </w:rPr>
      </w:pPr>
      <w:r w:rsidRPr="0013502F">
        <w:rPr>
          <w:rFonts w:ascii="Times New Roman" w:hAnsi="Times New Roman" w:cs="Times New Roman"/>
          <w:sz w:val="28"/>
          <w:szCs w:val="28"/>
          <w:u w:val="single"/>
        </w:rPr>
        <w:t>город Ханты-Мансийск</w:t>
      </w:r>
    </w:p>
    <w:p w14:paraId="74B89A05"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наименование городского округа (муниципального района)</w:t>
      </w:r>
    </w:p>
    <w:p w14:paraId="68F9A79A"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p>
    <w:tbl>
      <w:tblPr>
        <w:tblW w:w="15180" w:type="dxa"/>
        <w:tblInd w:w="93" w:type="dxa"/>
        <w:tblLayout w:type="fixed"/>
        <w:tblCellMar>
          <w:top w:w="75" w:type="dxa"/>
          <w:bottom w:w="75" w:type="dxa"/>
        </w:tblCellMar>
        <w:tblLook w:val="04A0" w:firstRow="1" w:lastRow="0" w:firstColumn="1" w:lastColumn="0" w:noHBand="0" w:noVBand="1"/>
      </w:tblPr>
      <w:tblGrid>
        <w:gridCol w:w="1244"/>
        <w:gridCol w:w="1604"/>
        <w:gridCol w:w="1436"/>
        <w:gridCol w:w="1436"/>
        <w:gridCol w:w="1523"/>
        <w:gridCol w:w="992"/>
        <w:gridCol w:w="1417"/>
        <w:gridCol w:w="1134"/>
        <w:gridCol w:w="1559"/>
        <w:gridCol w:w="1134"/>
        <w:gridCol w:w="1701"/>
      </w:tblGrid>
      <w:tr w:rsidR="005E5023" w:rsidRPr="0013502F" w14:paraId="125B4E61" w14:textId="77777777" w:rsidTr="005E5023">
        <w:trPr>
          <w:trHeight w:val="330"/>
        </w:trPr>
        <w:tc>
          <w:tcPr>
            <w:tcW w:w="1245" w:type="dxa"/>
            <w:vMerge w:val="restart"/>
            <w:tcBorders>
              <w:top w:val="single" w:sz="8" w:space="0" w:color="auto"/>
              <w:left w:val="single" w:sz="8" w:space="0" w:color="auto"/>
              <w:bottom w:val="single" w:sz="8" w:space="0" w:color="000000"/>
              <w:right w:val="single" w:sz="8" w:space="0" w:color="auto"/>
            </w:tcBorders>
            <w:vAlign w:val="center"/>
            <w:hideMark/>
          </w:tcPr>
          <w:p w14:paraId="4C9FAD77"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Отчетный период</w:t>
            </w:r>
          </w:p>
        </w:tc>
        <w:tc>
          <w:tcPr>
            <w:tcW w:w="1605" w:type="dxa"/>
            <w:vMerge w:val="restart"/>
            <w:tcBorders>
              <w:top w:val="single" w:sz="8" w:space="0" w:color="auto"/>
              <w:left w:val="single" w:sz="8" w:space="0" w:color="auto"/>
              <w:bottom w:val="single" w:sz="8" w:space="0" w:color="000000"/>
              <w:right w:val="single" w:sz="8" w:space="0" w:color="auto"/>
            </w:tcBorders>
            <w:vAlign w:val="center"/>
            <w:hideMark/>
          </w:tcPr>
          <w:p w14:paraId="24CE850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Общая площадь жилых помещений на начало года, всего</w:t>
            </w:r>
          </w:p>
        </w:tc>
        <w:tc>
          <w:tcPr>
            <w:tcW w:w="5387" w:type="dxa"/>
            <w:gridSpan w:val="4"/>
            <w:tcBorders>
              <w:top w:val="single" w:sz="8" w:space="0" w:color="auto"/>
              <w:left w:val="nil"/>
              <w:bottom w:val="single" w:sz="8" w:space="0" w:color="auto"/>
              <w:right w:val="single" w:sz="8" w:space="0" w:color="000000"/>
            </w:tcBorders>
            <w:vAlign w:val="center"/>
            <w:hideMark/>
          </w:tcPr>
          <w:p w14:paraId="21D11184"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в том числе</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14:paraId="6C99B77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Выбыло общей площади жилых помещений за год, всего</w:t>
            </w:r>
          </w:p>
        </w:tc>
        <w:tc>
          <w:tcPr>
            <w:tcW w:w="3827" w:type="dxa"/>
            <w:gridSpan w:val="3"/>
            <w:tcBorders>
              <w:top w:val="single" w:sz="8" w:space="0" w:color="auto"/>
              <w:left w:val="nil"/>
              <w:bottom w:val="single" w:sz="8" w:space="0" w:color="auto"/>
              <w:right w:val="single" w:sz="8" w:space="0" w:color="000000"/>
            </w:tcBorders>
            <w:vAlign w:val="center"/>
            <w:hideMark/>
          </w:tcPr>
          <w:p w14:paraId="60211BA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в том числе</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712E255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Общая площадь жилых помещений, введенная в действие за год</w:t>
            </w:r>
          </w:p>
        </w:tc>
      </w:tr>
      <w:tr w:rsidR="005E5023" w:rsidRPr="0013502F" w14:paraId="122B0FBE" w14:textId="77777777" w:rsidTr="005E5023">
        <w:trPr>
          <w:trHeight w:val="1905"/>
        </w:trPr>
        <w:tc>
          <w:tcPr>
            <w:tcW w:w="1245" w:type="dxa"/>
            <w:vMerge/>
            <w:tcBorders>
              <w:top w:val="single" w:sz="8" w:space="0" w:color="auto"/>
              <w:left w:val="single" w:sz="8" w:space="0" w:color="auto"/>
              <w:bottom w:val="single" w:sz="8" w:space="0" w:color="000000"/>
              <w:right w:val="single" w:sz="8" w:space="0" w:color="auto"/>
            </w:tcBorders>
            <w:vAlign w:val="center"/>
            <w:hideMark/>
          </w:tcPr>
          <w:p w14:paraId="53DA95B6"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c>
          <w:tcPr>
            <w:tcW w:w="1605" w:type="dxa"/>
            <w:vMerge/>
            <w:tcBorders>
              <w:top w:val="single" w:sz="8" w:space="0" w:color="auto"/>
              <w:left w:val="single" w:sz="8" w:space="0" w:color="auto"/>
              <w:bottom w:val="single" w:sz="8" w:space="0" w:color="000000"/>
              <w:right w:val="single" w:sz="8" w:space="0" w:color="auto"/>
            </w:tcBorders>
            <w:vAlign w:val="center"/>
            <w:hideMark/>
          </w:tcPr>
          <w:p w14:paraId="03AE42FC"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c>
          <w:tcPr>
            <w:tcW w:w="1436" w:type="dxa"/>
            <w:tcBorders>
              <w:top w:val="nil"/>
              <w:left w:val="nil"/>
              <w:bottom w:val="single" w:sz="8" w:space="0" w:color="auto"/>
              <w:right w:val="single" w:sz="8" w:space="0" w:color="auto"/>
            </w:tcBorders>
            <w:vAlign w:val="center"/>
            <w:hideMark/>
          </w:tcPr>
          <w:p w14:paraId="4F4C652F"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площадь ветхого жилищного фонда</w:t>
            </w:r>
          </w:p>
        </w:tc>
        <w:tc>
          <w:tcPr>
            <w:tcW w:w="1436" w:type="dxa"/>
            <w:tcBorders>
              <w:top w:val="nil"/>
              <w:left w:val="nil"/>
              <w:bottom w:val="single" w:sz="8" w:space="0" w:color="auto"/>
              <w:right w:val="single" w:sz="8" w:space="0" w:color="auto"/>
            </w:tcBorders>
            <w:vAlign w:val="center"/>
            <w:hideMark/>
          </w:tcPr>
          <w:p w14:paraId="40D2994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площадь аварийного жилищного фонда</w:t>
            </w:r>
          </w:p>
        </w:tc>
        <w:tc>
          <w:tcPr>
            <w:tcW w:w="1523" w:type="dxa"/>
            <w:tcBorders>
              <w:top w:val="nil"/>
              <w:left w:val="nil"/>
              <w:bottom w:val="single" w:sz="8" w:space="0" w:color="auto"/>
              <w:right w:val="single" w:sz="8" w:space="0" w:color="auto"/>
            </w:tcBorders>
            <w:vAlign w:val="center"/>
            <w:hideMark/>
          </w:tcPr>
          <w:p w14:paraId="6A4F5DDC"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площадь пригодного для проживания жилищного фонда</w:t>
            </w:r>
          </w:p>
        </w:tc>
        <w:tc>
          <w:tcPr>
            <w:tcW w:w="992" w:type="dxa"/>
            <w:tcBorders>
              <w:top w:val="nil"/>
              <w:left w:val="nil"/>
              <w:bottom w:val="single" w:sz="8" w:space="0" w:color="auto"/>
              <w:right w:val="single" w:sz="8" w:space="0" w:color="auto"/>
            </w:tcBorders>
            <w:vAlign w:val="center"/>
            <w:hideMark/>
          </w:tcPr>
          <w:p w14:paraId="01D0A0AF"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прочее</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BB1124C"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vAlign w:val="center"/>
            <w:hideMark/>
          </w:tcPr>
          <w:p w14:paraId="1317B45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снесено по причине ветхости</w:t>
            </w:r>
          </w:p>
        </w:tc>
        <w:tc>
          <w:tcPr>
            <w:tcW w:w="1559" w:type="dxa"/>
            <w:tcBorders>
              <w:top w:val="nil"/>
              <w:left w:val="nil"/>
              <w:bottom w:val="single" w:sz="8" w:space="0" w:color="auto"/>
              <w:right w:val="single" w:sz="8" w:space="0" w:color="auto"/>
            </w:tcBorders>
            <w:vAlign w:val="center"/>
            <w:hideMark/>
          </w:tcPr>
          <w:p w14:paraId="0F6E706F"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снесено по причине аварийности</w:t>
            </w:r>
          </w:p>
        </w:tc>
        <w:tc>
          <w:tcPr>
            <w:tcW w:w="1134" w:type="dxa"/>
            <w:tcBorders>
              <w:top w:val="nil"/>
              <w:left w:val="nil"/>
              <w:bottom w:val="single" w:sz="8" w:space="0" w:color="auto"/>
              <w:right w:val="single" w:sz="8" w:space="0" w:color="auto"/>
            </w:tcBorders>
            <w:vAlign w:val="center"/>
            <w:hideMark/>
          </w:tcPr>
          <w:p w14:paraId="1ADC0B5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иные причины</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6AC1194"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r>
      <w:tr w:rsidR="005E5023" w:rsidRPr="0013502F" w14:paraId="19886C11"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1907AF9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2013</w:t>
            </w:r>
          </w:p>
        </w:tc>
        <w:tc>
          <w:tcPr>
            <w:tcW w:w="1605" w:type="dxa"/>
            <w:tcBorders>
              <w:top w:val="nil"/>
              <w:left w:val="nil"/>
              <w:bottom w:val="single" w:sz="8" w:space="0" w:color="auto"/>
              <w:right w:val="single" w:sz="8" w:space="0" w:color="auto"/>
            </w:tcBorders>
            <w:vAlign w:val="center"/>
            <w:hideMark/>
          </w:tcPr>
          <w:p w14:paraId="56E8C75E"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1 805 300  </w:t>
            </w:r>
          </w:p>
        </w:tc>
        <w:tc>
          <w:tcPr>
            <w:tcW w:w="1436" w:type="dxa"/>
            <w:tcBorders>
              <w:top w:val="nil"/>
              <w:left w:val="nil"/>
              <w:bottom w:val="single" w:sz="8" w:space="0" w:color="auto"/>
              <w:right w:val="single" w:sz="8" w:space="0" w:color="auto"/>
            </w:tcBorders>
            <w:vAlign w:val="center"/>
            <w:hideMark/>
          </w:tcPr>
          <w:p w14:paraId="3B3536DE"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83 600  </w:t>
            </w:r>
          </w:p>
        </w:tc>
        <w:tc>
          <w:tcPr>
            <w:tcW w:w="1436" w:type="dxa"/>
            <w:tcBorders>
              <w:top w:val="nil"/>
              <w:left w:val="nil"/>
              <w:bottom w:val="single" w:sz="8" w:space="0" w:color="auto"/>
              <w:right w:val="single" w:sz="8" w:space="0" w:color="auto"/>
            </w:tcBorders>
            <w:vAlign w:val="center"/>
            <w:hideMark/>
          </w:tcPr>
          <w:p w14:paraId="0386B4B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23" w:type="dxa"/>
            <w:tcBorders>
              <w:top w:val="nil"/>
              <w:left w:val="nil"/>
              <w:bottom w:val="single" w:sz="8" w:space="0" w:color="auto"/>
              <w:right w:val="single" w:sz="8" w:space="0" w:color="auto"/>
            </w:tcBorders>
            <w:vAlign w:val="center"/>
            <w:hideMark/>
          </w:tcPr>
          <w:p w14:paraId="61CEE68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1 721 700  </w:t>
            </w:r>
          </w:p>
        </w:tc>
        <w:tc>
          <w:tcPr>
            <w:tcW w:w="992" w:type="dxa"/>
            <w:tcBorders>
              <w:top w:val="nil"/>
              <w:left w:val="nil"/>
              <w:bottom w:val="single" w:sz="8" w:space="0" w:color="auto"/>
              <w:right w:val="single" w:sz="8" w:space="0" w:color="auto"/>
            </w:tcBorders>
            <w:vAlign w:val="center"/>
            <w:hideMark/>
          </w:tcPr>
          <w:p w14:paraId="596ECF6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0B16FCF5"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5 800  </w:t>
            </w:r>
          </w:p>
        </w:tc>
        <w:tc>
          <w:tcPr>
            <w:tcW w:w="1134" w:type="dxa"/>
            <w:tcBorders>
              <w:top w:val="nil"/>
              <w:left w:val="nil"/>
              <w:bottom w:val="single" w:sz="8" w:space="0" w:color="auto"/>
              <w:right w:val="single" w:sz="8" w:space="0" w:color="auto"/>
            </w:tcBorders>
            <w:vAlign w:val="center"/>
            <w:hideMark/>
          </w:tcPr>
          <w:p w14:paraId="0BF2FD6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5 800  </w:t>
            </w:r>
          </w:p>
        </w:tc>
        <w:tc>
          <w:tcPr>
            <w:tcW w:w="1559" w:type="dxa"/>
            <w:tcBorders>
              <w:top w:val="nil"/>
              <w:left w:val="nil"/>
              <w:bottom w:val="single" w:sz="8" w:space="0" w:color="auto"/>
              <w:right w:val="single" w:sz="8" w:space="0" w:color="auto"/>
            </w:tcBorders>
            <w:vAlign w:val="center"/>
            <w:hideMark/>
          </w:tcPr>
          <w:p w14:paraId="03EF127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134" w:type="dxa"/>
            <w:tcBorders>
              <w:top w:val="nil"/>
              <w:left w:val="nil"/>
              <w:bottom w:val="single" w:sz="8" w:space="0" w:color="auto"/>
              <w:right w:val="single" w:sz="8" w:space="0" w:color="auto"/>
            </w:tcBorders>
            <w:vAlign w:val="center"/>
            <w:hideMark/>
          </w:tcPr>
          <w:p w14:paraId="05A3F065"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7D49F6A7"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106 800  </w:t>
            </w:r>
          </w:p>
        </w:tc>
      </w:tr>
      <w:tr w:rsidR="005E5023" w:rsidRPr="0013502F" w14:paraId="6881805D"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21A6845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2014</w:t>
            </w:r>
          </w:p>
        </w:tc>
        <w:tc>
          <w:tcPr>
            <w:tcW w:w="1605" w:type="dxa"/>
            <w:tcBorders>
              <w:top w:val="nil"/>
              <w:left w:val="nil"/>
              <w:bottom w:val="single" w:sz="8" w:space="0" w:color="auto"/>
              <w:right w:val="single" w:sz="8" w:space="0" w:color="auto"/>
            </w:tcBorders>
            <w:vAlign w:val="center"/>
            <w:hideMark/>
          </w:tcPr>
          <w:p w14:paraId="0C2FF857"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1 906 300  </w:t>
            </w:r>
          </w:p>
        </w:tc>
        <w:tc>
          <w:tcPr>
            <w:tcW w:w="1436" w:type="dxa"/>
            <w:tcBorders>
              <w:top w:val="nil"/>
              <w:left w:val="nil"/>
              <w:bottom w:val="single" w:sz="8" w:space="0" w:color="auto"/>
              <w:right w:val="single" w:sz="8" w:space="0" w:color="auto"/>
            </w:tcBorders>
            <w:vAlign w:val="center"/>
            <w:hideMark/>
          </w:tcPr>
          <w:p w14:paraId="2756E95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78 200  </w:t>
            </w:r>
          </w:p>
        </w:tc>
        <w:tc>
          <w:tcPr>
            <w:tcW w:w="1436" w:type="dxa"/>
            <w:tcBorders>
              <w:top w:val="nil"/>
              <w:left w:val="nil"/>
              <w:bottom w:val="single" w:sz="8" w:space="0" w:color="auto"/>
              <w:right w:val="single" w:sz="8" w:space="0" w:color="auto"/>
            </w:tcBorders>
            <w:vAlign w:val="center"/>
            <w:hideMark/>
          </w:tcPr>
          <w:p w14:paraId="4C417562"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23 800  </w:t>
            </w:r>
          </w:p>
        </w:tc>
        <w:tc>
          <w:tcPr>
            <w:tcW w:w="1523" w:type="dxa"/>
            <w:tcBorders>
              <w:top w:val="nil"/>
              <w:left w:val="nil"/>
              <w:bottom w:val="single" w:sz="8" w:space="0" w:color="auto"/>
              <w:right w:val="single" w:sz="8" w:space="0" w:color="auto"/>
            </w:tcBorders>
            <w:vAlign w:val="center"/>
            <w:hideMark/>
          </w:tcPr>
          <w:p w14:paraId="064109D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1 804 300  </w:t>
            </w:r>
          </w:p>
        </w:tc>
        <w:tc>
          <w:tcPr>
            <w:tcW w:w="992" w:type="dxa"/>
            <w:tcBorders>
              <w:top w:val="nil"/>
              <w:left w:val="nil"/>
              <w:bottom w:val="single" w:sz="8" w:space="0" w:color="auto"/>
              <w:right w:val="single" w:sz="8" w:space="0" w:color="auto"/>
            </w:tcBorders>
            <w:vAlign w:val="center"/>
            <w:hideMark/>
          </w:tcPr>
          <w:p w14:paraId="082363C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50B6DD7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2 800  </w:t>
            </w:r>
          </w:p>
        </w:tc>
        <w:tc>
          <w:tcPr>
            <w:tcW w:w="1134" w:type="dxa"/>
            <w:tcBorders>
              <w:top w:val="nil"/>
              <w:left w:val="nil"/>
              <w:bottom w:val="single" w:sz="8" w:space="0" w:color="auto"/>
              <w:right w:val="single" w:sz="8" w:space="0" w:color="auto"/>
            </w:tcBorders>
            <w:vAlign w:val="center"/>
            <w:hideMark/>
          </w:tcPr>
          <w:p w14:paraId="125B363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503A910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2 800  </w:t>
            </w:r>
          </w:p>
        </w:tc>
        <w:tc>
          <w:tcPr>
            <w:tcW w:w="1134" w:type="dxa"/>
            <w:tcBorders>
              <w:top w:val="nil"/>
              <w:left w:val="nil"/>
              <w:bottom w:val="single" w:sz="8" w:space="0" w:color="auto"/>
              <w:right w:val="single" w:sz="8" w:space="0" w:color="auto"/>
            </w:tcBorders>
            <w:vAlign w:val="center"/>
            <w:hideMark/>
          </w:tcPr>
          <w:p w14:paraId="71D9845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40B7DC0C"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111 200  </w:t>
            </w:r>
          </w:p>
        </w:tc>
      </w:tr>
      <w:tr w:rsidR="005E5023" w:rsidRPr="0013502F" w14:paraId="6DDACBD1"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4B265EFA"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2015</w:t>
            </w:r>
          </w:p>
        </w:tc>
        <w:tc>
          <w:tcPr>
            <w:tcW w:w="1605" w:type="dxa"/>
            <w:tcBorders>
              <w:top w:val="nil"/>
              <w:left w:val="nil"/>
              <w:bottom w:val="single" w:sz="8" w:space="0" w:color="auto"/>
              <w:right w:val="single" w:sz="8" w:space="0" w:color="auto"/>
            </w:tcBorders>
            <w:vAlign w:val="center"/>
            <w:hideMark/>
          </w:tcPr>
          <w:p w14:paraId="1A168BF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2 014 700</w:t>
            </w:r>
          </w:p>
        </w:tc>
        <w:tc>
          <w:tcPr>
            <w:tcW w:w="1436" w:type="dxa"/>
            <w:tcBorders>
              <w:top w:val="nil"/>
              <w:left w:val="nil"/>
              <w:bottom w:val="single" w:sz="8" w:space="0" w:color="auto"/>
              <w:right w:val="single" w:sz="8" w:space="0" w:color="auto"/>
            </w:tcBorders>
            <w:vAlign w:val="center"/>
            <w:hideMark/>
          </w:tcPr>
          <w:p w14:paraId="6E035E5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85 500</w:t>
            </w:r>
          </w:p>
        </w:tc>
        <w:tc>
          <w:tcPr>
            <w:tcW w:w="1436" w:type="dxa"/>
            <w:tcBorders>
              <w:top w:val="nil"/>
              <w:left w:val="nil"/>
              <w:bottom w:val="single" w:sz="8" w:space="0" w:color="auto"/>
              <w:right w:val="single" w:sz="8" w:space="0" w:color="auto"/>
            </w:tcBorders>
            <w:vAlign w:val="center"/>
            <w:hideMark/>
          </w:tcPr>
          <w:p w14:paraId="1246F584"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23 400</w:t>
            </w:r>
          </w:p>
        </w:tc>
        <w:tc>
          <w:tcPr>
            <w:tcW w:w="1523" w:type="dxa"/>
            <w:tcBorders>
              <w:top w:val="nil"/>
              <w:left w:val="nil"/>
              <w:bottom w:val="single" w:sz="8" w:space="0" w:color="auto"/>
              <w:right w:val="single" w:sz="8" w:space="0" w:color="auto"/>
            </w:tcBorders>
            <w:vAlign w:val="center"/>
            <w:hideMark/>
          </w:tcPr>
          <w:p w14:paraId="47458E9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1 905 800</w:t>
            </w:r>
          </w:p>
        </w:tc>
        <w:tc>
          <w:tcPr>
            <w:tcW w:w="992" w:type="dxa"/>
            <w:tcBorders>
              <w:top w:val="nil"/>
              <w:left w:val="nil"/>
              <w:bottom w:val="single" w:sz="8" w:space="0" w:color="auto"/>
              <w:right w:val="single" w:sz="8" w:space="0" w:color="auto"/>
            </w:tcBorders>
            <w:vAlign w:val="center"/>
            <w:hideMark/>
          </w:tcPr>
          <w:p w14:paraId="527AFA5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52E28EC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4 200</w:t>
            </w:r>
          </w:p>
        </w:tc>
        <w:tc>
          <w:tcPr>
            <w:tcW w:w="1134" w:type="dxa"/>
            <w:tcBorders>
              <w:top w:val="nil"/>
              <w:left w:val="nil"/>
              <w:bottom w:val="single" w:sz="8" w:space="0" w:color="auto"/>
              <w:right w:val="single" w:sz="8" w:space="0" w:color="auto"/>
            </w:tcBorders>
            <w:vAlign w:val="center"/>
            <w:hideMark/>
          </w:tcPr>
          <w:p w14:paraId="588C6AD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1DEABDC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4 200</w:t>
            </w:r>
          </w:p>
        </w:tc>
        <w:tc>
          <w:tcPr>
            <w:tcW w:w="1134" w:type="dxa"/>
            <w:tcBorders>
              <w:top w:val="nil"/>
              <w:left w:val="nil"/>
              <w:bottom w:val="single" w:sz="8" w:space="0" w:color="auto"/>
              <w:right w:val="single" w:sz="8" w:space="0" w:color="auto"/>
            </w:tcBorders>
            <w:vAlign w:val="center"/>
            <w:hideMark/>
          </w:tcPr>
          <w:p w14:paraId="51802E3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3D79345E"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140 000</w:t>
            </w:r>
          </w:p>
        </w:tc>
      </w:tr>
      <w:tr w:rsidR="005E5023" w:rsidRPr="0013502F" w14:paraId="38B26DB3"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7DCA10A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2016</w:t>
            </w:r>
          </w:p>
        </w:tc>
        <w:tc>
          <w:tcPr>
            <w:tcW w:w="1605" w:type="dxa"/>
            <w:tcBorders>
              <w:top w:val="nil"/>
              <w:left w:val="nil"/>
              <w:bottom w:val="single" w:sz="8" w:space="0" w:color="auto"/>
              <w:right w:val="single" w:sz="8" w:space="0" w:color="auto"/>
            </w:tcBorders>
            <w:hideMark/>
          </w:tcPr>
          <w:p w14:paraId="4BEEB18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2 150 500</w:t>
            </w:r>
          </w:p>
        </w:tc>
        <w:tc>
          <w:tcPr>
            <w:tcW w:w="1436" w:type="dxa"/>
            <w:tcBorders>
              <w:top w:val="nil"/>
              <w:left w:val="nil"/>
              <w:bottom w:val="single" w:sz="8" w:space="0" w:color="auto"/>
              <w:right w:val="single" w:sz="8" w:space="0" w:color="auto"/>
            </w:tcBorders>
            <w:hideMark/>
          </w:tcPr>
          <w:p w14:paraId="1F1CC16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74 500</w:t>
            </w:r>
          </w:p>
        </w:tc>
        <w:tc>
          <w:tcPr>
            <w:tcW w:w="1436" w:type="dxa"/>
            <w:tcBorders>
              <w:top w:val="nil"/>
              <w:left w:val="nil"/>
              <w:bottom w:val="single" w:sz="8" w:space="0" w:color="auto"/>
              <w:right w:val="single" w:sz="8" w:space="0" w:color="auto"/>
            </w:tcBorders>
            <w:hideMark/>
          </w:tcPr>
          <w:p w14:paraId="2D33C1CA"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33 000</w:t>
            </w:r>
          </w:p>
        </w:tc>
        <w:tc>
          <w:tcPr>
            <w:tcW w:w="1523" w:type="dxa"/>
            <w:tcBorders>
              <w:top w:val="nil"/>
              <w:left w:val="nil"/>
              <w:bottom w:val="single" w:sz="8" w:space="0" w:color="auto"/>
              <w:right w:val="single" w:sz="8" w:space="0" w:color="auto"/>
            </w:tcBorders>
            <w:hideMark/>
          </w:tcPr>
          <w:p w14:paraId="359E3F85"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2 043 000</w:t>
            </w:r>
          </w:p>
        </w:tc>
        <w:tc>
          <w:tcPr>
            <w:tcW w:w="992" w:type="dxa"/>
            <w:tcBorders>
              <w:top w:val="nil"/>
              <w:left w:val="nil"/>
              <w:bottom w:val="single" w:sz="8" w:space="0" w:color="auto"/>
              <w:right w:val="single" w:sz="8" w:space="0" w:color="auto"/>
            </w:tcBorders>
            <w:hideMark/>
          </w:tcPr>
          <w:p w14:paraId="12F7A2B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hideMark/>
          </w:tcPr>
          <w:p w14:paraId="41291DD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4 500</w:t>
            </w:r>
          </w:p>
        </w:tc>
        <w:tc>
          <w:tcPr>
            <w:tcW w:w="1134" w:type="dxa"/>
            <w:tcBorders>
              <w:top w:val="nil"/>
              <w:left w:val="nil"/>
              <w:bottom w:val="single" w:sz="8" w:space="0" w:color="auto"/>
              <w:right w:val="single" w:sz="8" w:space="0" w:color="auto"/>
            </w:tcBorders>
            <w:hideMark/>
          </w:tcPr>
          <w:p w14:paraId="6169B9A2"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hideMark/>
          </w:tcPr>
          <w:p w14:paraId="30036C7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4 500</w:t>
            </w:r>
          </w:p>
        </w:tc>
        <w:tc>
          <w:tcPr>
            <w:tcW w:w="1134" w:type="dxa"/>
            <w:tcBorders>
              <w:top w:val="nil"/>
              <w:left w:val="nil"/>
              <w:bottom w:val="single" w:sz="8" w:space="0" w:color="auto"/>
              <w:right w:val="single" w:sz="8" w:space="0" w:color="auto"/>
            </w:tcBorders>
            <w:hideMark/>
          </w:tcPr>
          <w:p w14:paraId="0E6511A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hideMark/>
          </w:tcPr>
          <w:p w14:paraId="5663409B"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111 000</w:t>
            </w:r>
          </w:p>
        </w:tc>
      </w:tr>
      <w:tr w:rsidR="005E5023" w:rsidRPr="0013502F" w14:paraId="4FCB826D"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30273B61"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2017</w:t>
            </w:r>
          </w:p>
        </w:tc>
        <w:tc>
          <w:tcPr>
            <w:tcW w:w="1605" w:type="dxa"/>
            <w:tcBorders>
              <w:top w:val="nil"/>
              <w:left w:val="nil"/>
              <w:bottom w:val="single" w:sz="8" w:space="0" w:color="auto"/>
              <w:right w:val="single" w:sz="8" w:space="0" w:color="auto"/>
            </w:tcBorders>
            <w:hideMark/>
          </w:tcPr>
          <w:p w14:paraId="6C1DB96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2 257 000</w:t>
            </w:r>
          </w:p>
        </w:tc>
        <w:tc>
          <w:tcPr>
            <w:tcW w:w="1436" w:type="dxa"/>
            <w:tcBorders>
              <w:top w:val="nil"/>
              <w:left w:val="nil"/>
              <w:bottom w:val="single" w:sz="8" w:space="0" w:color="auto"/>
              <w:right w:val="single" w:sz="8" w:space="0" w:color="auto"/>
            </w:tcBorders>
            <w:hideMark/>
          </w:tcPr>
          <w:p w14:paraId="4B5F657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81 000</w:t>
            </w:r>
          </w:p>
        </w:tc>
        <w:tc>
          <w:tcPr>
            <w:tcW w:w="1436" w:type="dxa"/>
            <w:tcBorders>
              <w:top w:val="nil"/>
              <w:left w:val="nil"/>
              <w:bottom w:val="single" w:sz="8" w:space="0" w:color="auto"/>
              <w:right w:val="single" w:sz="8" w:space="0" w:color="auto"/>
            </w:tcBorders>
            <w:hideMark/>
          </w:tcPr>
          <w:p w14:paraId="25C52CA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24 000</w:t>
            </w:r>
          </w:p>
        </w:tc>
        <w:tc>
          <w:tcPr>
            <w:tcW w:w="1523" w:type="dxa"/>
            <w:tcBorders>
              <w:top w:val="nil"/>
              <w:left w:val="nil"/>
              <w:bottom w:val="single" w:sz="8" w:space="0" w:color="auto"/>
              <w:right w:val="single" w:sz="8" w:space="0" w:color="auto"/>
            </w:tcBorders>
            <w:hideMark/>
          </w:tcPr>
          <w:p w14:paraId="184DC32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2 152 000</w:t>
            </w:r>
          </w:p>
        </w:tc>
        <w:tc>
          <w:tcPr>
            <w:tcW w:w="992" w:type="dxa"/>
            <w:tcBorders>
              <w:top w:val="nil"/>
              <w:left w:val="nil"/>
              <w:bottom w:val="single" w:sz="8" w:space="0" w:color="auto"/>
              <w:right w:val="single" w:sz="8" w:space="0" w:color="auto"/>
            </w:tcBorders>
            <w:hideMark/>
          </w:tcPr>
          <w:p w14:paraId="7A447E84"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hideMark/>
          </w:tcPr>
          <w:p w14:paraId="30B67581"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hideMark/>
          </w:tcPr>
          <w:p w14:paraId="62C6B0E6"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hideMark/>
          </w:tcPr>
          <w:p w14:paraId="7B7D5BFD"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hideMark/>
          </w:tcPr>
          <w:p w14:paraId="133F0375"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hideMark/>
          </w:tcPr>
          <w:p w14:paraId="73744D6F"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100 000</w:t>
            </w:r>
          </w:p>
        </w:tc>
      </w:tr>
      <w:tr w:rsidR="005E5023" w:rsidRPr="009A1D3D" w14:paraId="56F66773"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4D57670A"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2018</w:t>
            </w:r>
          </w:p>
        </w:tc>
        <w:tc>
          <w:tcPr>
            <w:tcW w:w="1605" w:type="dxa"/>
            <w:tcBorders>
              <w:top w:val="nil"/>
              <w:left w:val="nil"/>
              <w:bottom w:val="single" w:sz="8" w:space="0" w:color="auto"/>
              <w:right w:val="single" w:sz="8" w:space="0" w:color="auto"/>
            </w:tcBorders>
            <w:vAlign w:val="center"/>
            <w:hideMark/>
          </w:tcPr>
          <w:p w14:paraId="2D18C38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2 353 500</w:t>
            </w:r>
          </w:p>
        </w:tc>
        <w:tc>
          <w:tcPr>
            <w:tcW w:w="1436" w:type="dxa"/>
            <w:tcBorders>
              <w:top w:val="nil"/>
              <w:left w:val="nil"/>
              <w:bottom w:val="single" w:sz="8" w:space="0" w:color="auto"/>
              <w:right w:val="single" w:sz="8" w:space="0" w:color="auto"/>
            </w:tcBorders>
            <w:vAlign w:val="center"/>
            <w:hideMark/>
          </w:tcPr>
          <w:p w14:paraId="2A10C95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81 000</w:t>
            </w:r>
          </w:p>
        </w:tc>
        <w:tc>
          <w:tcPr>
            <w:tcW w:w="1436" w:type="dxa"/>
            <w:tcBorders>
              <w:top w:val="nil"/>
              <w:left w:val="nil"/>
              <w:bottom w:val="single" w:sz="8" w:space="0" w:color="auto"/>
              <w:right w:val="single" w:sz="8" w:space="0" w:color="auto"/>
            </w:tcBorders>
            <w:vAlign w:val="center"/>
            <w:hideMark/>
          </w:tcPr>
          <w:p w14:paraId="6107C44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24 000</w:t>
            </w:r>
          </w:p>
        </w:tc>
        <w:tc>
          <w:tcPr>
            <w:tcW w:w="1523" w:type="dxa"/>
            <w:tcBorders>
              <w:top w:val="nil"/>
              <w:left w:val="nil"/>
              <w:bottom w:val="single" w:sz="8" w:space="0" w:color="auto"/>
              <w:right w:val="single" w:sz="8" w:space="0" w:color="auto"/>
            </w:tcBorders>
            <w:vAlign w:val="center"/>
            <w:hideMark/>
          </w:tcPr>
          <w:p w14:paraId="02028755"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2 248 000</w:t>
            </w:r>
          </w:p>
        </w:tc>
        <w:tc>
          <w:tcPr>
            <w:tcW w:w="992" w:type="dxa"/>
            <w:tcBorders>
              <w:top w:val="nil"/>
              <w:left w:val="nil"/>
              <w:bottom w:val="single" w:sz="8" w:space="0" w:color="auto"/>
              <w:right w:val="single" w:sz="8" w:space="0" w:color="auto"/>
            </w:tcBorders>
            <w:vAlign w:val="center"/>
            <w:hideMark/>
          </w:tcPr>
          <w:p w14:paraId="360E74B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639F4F3E"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hideMark/>
          </w:tcPr>
          <w:p w14:paraId="71AFDD0E"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02C052A2"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hideMark/>
          </w:tcPr>
          <w:p w14:paraId="272EBDB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4731A792"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100 000</w:t>
            </w:r>
          </w:p>
        </w:tc>
      </w:tr>
      <w:tr w:rsidR="005E5023" w:rsidRPr="009A1D3D" w14:paraId="11D1FFDB"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45EB97B2"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2019</w:t>
            </w:r>
          </w:p>
        </w:tc>
        <w:tc>
          <w:tcPr>
            <w:tcW w:w="1605" w:type="dxa"/>
            <w:tcBorders>
              <w:top w:val="nil"/>
              <w:left w:val="nil"/>
              <w:bottom w:val="single" w:sz="8" w:space="0" w:color="auto"/>
              <w:right w:val="single" w:sz="8" w:space="0" w:color="auto"/>
            </w:tcBorders>
            <w:vAlign w:val="center"/>
            <w:hideMark/>
          </w:tcPr>
          <w:p w14:paraId="7A27573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2 449 500</w:t>
            </w:r>
          </w:p>
        </w:tc>
        <w:tc>
          <w:tcPr>
            <w:tcW w:w="1436" w:type="dxa"/>
            <w:tcBorders>
              <w:top w:val="nil"/>
              <w:left w:val="nil"/>
              <w:bottom w:val="single" w:sz="8" w:space="0" w:color="auto"/>
              <w:right w:val="single" w:sz="8" w:space="0" w:color="auto"/>
            </w:tcBorders>
            <w:vAlign w:val="center"/>
            <w:hideMark/>
          </w:tcPr>
          <w:p w14:paraId="524A9541"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81 000</w:t>
            </w:r>
          </w:p>
        </w:tc>
        <w:tc>
          <w:tcPr>
            <w:tcW w:w="1436" w:type="dxa"/>
            <w:tcBorders>
              <w:top w:val="nil"/>
              <w:left w:val="nil"/>
              <w:bottom w:val="single" w:sz="8" w:space="0" w:color="auto"/>
              <w:right w:val="single" w:sz="8" w:space="0" w:color="auto"/>
            </w:tcBorders>
            <w:vAlign w:val="center"/>
            <w:hideMark/>
          </w:tcPr>
          <w:p w14:paraId="124CAD3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24 000</w:t>
            </w:r>
          </w:p>
        </w:tc>
        <w:tc>
          <w:tcPr>
            <w:tcW w:w="1523" w:type="dxa"/>
            <w:tcBorders>
              <w:top w:val="nil"/>
              <w:left w:val="nil"/>
              <w:bottom w:val="single" w:sz="8" w:space="0" w:color="auto"/>
              <w:right w:val="single" w:sz="8" w:space="0" w:color="auto"/>
            </w:tcBorders>
            <w:vAlign w:val="center"/>
            <w:hideMark/>
          </w:tcPr>
          <w:p w14:paraId="229DDF3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2 344 500</w:t>
            </w:r>
          </w:p>
        </w:tc>
        <w:tc>
          <w:tcPr>
            <w:tcW w:w="992" w:type="dxa"/>
            <w:tcBorders>
              <w:top w:val="nil"/>
              <w:left w:val="nil"/>
              <w:bottom w:val="single" w:sz="8" w:space="0" w:color="auto"/>
              <w:right w:val="single" w:sz="8" w:space="0" w:color="auto"/>
            </w:tcBorders>
            <w:vAlign w:val="center"/>
          </w:tcPr>
          <w:p w14:paraId="1D88F85B"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vAlign w:val="center"/>
            <w:hideMark/>
          </w:tcPr>
          <w:p w14:paraId="2AAC7774"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tcPr>
          <w:p w14:paraId="356F600D"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vAlign w:val="center"/>
            <w:hideMark/>
          </w:tcPr>
          <w:p w14:paraId="0CC4B46F"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tcPr>
          <w:p w14:paraId="714AB46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vAlign w:val="center"/>
            <w:hideMark/>
          </w:tcPr>
          <w:p w14:paraId="59F7C874"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100 000</w:t>
            </w:r>
          </w:p>
        </w:tc>
      </w:tr>
    </w:tbl>
    <w:p w14:paraId="405135BF"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p>
    <w:p w14:paraId="0687BB47" w14:textId="77777777" w:rsidR="007C2224" w:rsidRDefault="007C2224">
      <w:pPr>
        <w:rPr>
          <w:rFonts w:ascii="Times New Roman" w:eastAsia="Calibri" w:hAnsi="Times New Roman" w:cs="Times New Roman"/>
          <w:sz w:val="28"/>
          <w:szCs w:val="28"/>
        </w:rPr>
        <w:sectPr w:rsidR="007C2224" w:rsidSect="007C2224">
          <w:pgSz w:w="16838" w:h="11906" w:orient="landscape"/>
          <w:pgMar w:top="1134" w:right="851" w:bottom="851" w:left="1134" w:header="709" w:footer="709" w:gutter="0"/>
          <w:cols w:space="708"/>
          <w:docGrid w:linePitch="360"/>
        </w:sectPr>
      </w:pPr>
    </w:p>
    <w:p w14:paraId="644B9192" w14:textId="777D4A44" w:rsidR="005E5023" w:rsidRPr="0013502F" w:rsidRDefault="005E5023" w:rsidP="00527456">
      <w:pPr>
        <w:widowControl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lastRenderedPageBreak/>
        <w:t>Общая площадь жилищного фонда города Ханты-Мансийска по сост</w:t>
      </w:r>
      <w:r w:rsidR="007C2224">
        <w:rPr>
          <w:rFonts w:ascii="Times New Roman" w:eastAsia="Calibri" w:hAnsi="Times New Roman" w:cs="Times New Roman"/>
          <w:sz w:val="28"/>
          <w:szCs w:val="28"/>
        </w:rPr>
        <w:t xml:space="preserve">оянию на 01.01.2016 составляет </w:t>
      </w:r>
      <w:r w:rsidRPr="0013502F">
        <w:rPr>
          <w:rFonts w:ascii="Times New Roman" w:eastAsia="Calibri" w:hAnsi="Times New Roman" w:cs="Times New Roman"/>
          <w:sz w:val="28"/>
          <w:szCs w:val="28"/>
        </w:rPr>
        <w:t xml:space="preserve">2257,0 тыс. кв.м., из которой: </w:t>
      </w:r>
      <w:r w:rsidR="007576D2">
        <w:rPr>
          <w:rFonts w:ascii="Times New Roman" w:eastAsia="Calibri" w:hAnsi="Times New Roman" w:cs="Times New Roman"/>
          <w:sz w:val="28"/>
          <w:szCs w:val="28"/>
        </w:rPr>
        <w:t xml:space="preserve"> </w:t>
      </w:r>
      <w:r w:rsidRPr="0013502F">
        <w:rPr>
          <w:rFonts w:ascii="Times New Roman" w:eastAsia="Calibri" w:hAnsi="Times New Roman" w:cs="Times New Roman"/>
          <w:sz w:val="28"/>
          <w:szCs w:val="28"/>
        </w:rPr>
        <w:t>площадь ветхого жилищного фонда (с процентом износа конструктивных элементов здания свыше 65%) составляет 74,5 тыс. кв.м., что на 11 тыс. кв.м меньше чем в 2015 году;</w:t>
      </w:r>
      <w:r w:rsidR="007576D2">
        <w:rPr>
          <w:rFonts w:ascii="Times New Roman" w:eastAsia="Calibri" w:hAnsi="Times New Roman" w:cs="Times New Roman"/>
          <w:sz w:val="28"/>
          <w:szCs w:val="28"/>
        </w:rPr>
        <w:t xml:space="preserve"> </w:t>
      </w:r>
      <w:r w:rsidRPr="0013502F">
        <w:rPr>
          <w:rFonts w:ascii="Times New Roman" w:eastAsia="Calibri" w:hAnsi="Times New Roman" w:cs="Times New Roman"/>
          <w:sz w:val="28"/>
          <w:szCs w:val="28"/>
        </w:rPr>
        <w:t>площадь аварийного жилищного фонда составляет 33,0 тыс.кв.м, что на 9,6 тыс.кв.м</w:t>
      </w:r>
      <w:r w:rsidR="009B765C">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больше чем в 2015 году.</w:t>
      </w:r>
    </w:p>
    <w:p w14:paraId="421C7537" w14:textId="77777777" w:rsidR="005E5023" w:rsidRPr="0013502F" w:rsidRDefault="005E5023" w:rsidP="00527456">
      <w:pPr>
        <w:widowControl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Площадь аварийного жилого фонда увеличилась в связи с активизацией собственников помещений в многоквартирных домах в инициировании процедуры признания многоквартирных домов аварийными и подлежащими сносу.</w:t>
      </w:r>
    </w:p>
    <w:p w14:paraId="49A7DA12" w14:textId="2A24D326" w:rsidR="005E5023" w:rsidRPr="0013502F" w:rsidRDefault="005E5023" w:rsidP="00527456">
      <w:pPr>
        <w:widowControl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Продолжена реализация мероприятий по ликвидации аварийного жилищного фонда. В 2016 году было снесено 12 аварийных домов общей площадью 4,5 тыс. кв.м., что на 0,3 тыс. кв.м. больше чем за 2015году.</w:t>
      </w:r>
      <w:r w:rsidR="007576D2">
        <w:rPr>
          <w:rFonts w:ascii="Times New Roman" w:eastAsia="Calibri" w:hAnsi="Times New Roman" w:cs="Times New Roman"/>
          <w:sz w:val="28"/>
          <w:szCs w:val="28"/>
        </w:rPr>
        <w:t xml:space="preserve"> </w:t>
      </w:r>
      <w:r w:rsidRPr="0013502F">
        <w:rPr>
          <w:rFonts w:ascii="Times New Roman" w:eastAsia="Calibri" w:hAnsi="Times New Roman" w:cs="Times New Roman"/>
          <w:sz w:val="28"/>
          <w:szCs w:val="28"/>
        </w:rPr>
        <w:t>В 2016 году в эксплуатацию введено 20 многоквартирных домов общей площадью 111,0 тыс. кв.м. и 10,7 тыс. кв.м. индивидуального жилого фонда. За 2015 год было введено 140,0 тыс. кв.м</w:t>
      </w:r>
      <w:r w:rsidR="00DB3D5C" w:rsidRPr="0013502F">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общей площади жилищного фонда.</w:t>
      </w:r>
    </w:p>
    <w:p w14:paraId="00F9E1A8" w14:textId="77777777" w:rsidR="00811B56" w:rsidRPr="0013502F" w:rsidRDefault="00811B56" w:rsidP="00527456">
      <w:pPr>
        <w:spacing w:after="0" w:line="240" w:lineRule="auto"/>
      </w:pPr>
    </w:p>
    <w:p w14:paraId="0D5298B7" w14:textId="77777777" w:rsidR="006736C6" w:rsidRPr="0013502F" w:rsidRDefault="00D747C7" w:rsidP="00527456">
      <w:pPr>
        <w:pStyle w:val="1"/>
        <w:numPr>
          <w:ilvl w:val="1"/>
          <w:numId w:val="1"/>
        </w:numPr>
        <w:spacing w:before="0" w:line="240" w:lineRule="auto"/>
        <w:jc w:val="center"/>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t>Охрана прав граждан и юридических лиц</w:t>
      </w:r>
    </w:p>
    <w:p w14:paraId="34B95E2D" w14:textId="77777777" w:rsidR="00B3207F" w:rsidRPr="0013502F" w:rsidRDefault="00B3207F" w:rsidP="00527456">
      <w:pPr>
        <w:spacing w:after="0" w:line="240" w:lineRule="auto"/>
        <w:ind w:firstLine="709"/>
        <w:rPr>
          <w:rFonts w:ascii="Times New Roman" w:hAnsi="Times New Roman" w:cs="Times New Roman"/>
          <w:sz w:val="28"/>
          <w:szCs w:val="28"/>
          <w:lang w:eastAsia="ru-RU"/>
        </w:rPr>
      </w:pPr>
    </w:p>
    <w:p w14:paraId="465EC471"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В 2016 году в суды поступило 57 обращений физических и юридических лиц по обжалованию действий (бездействий) органов Администрации города Ханты-Мансийска, что на 103,5% больше по сравнению по итогам работы 2015 года (28 обращений). Из общего числа обращений, основную долю 77,2% (44) составляют обращения физических лиц, что на 54.5% больше по сравнению по итогам работы 2015 года (24).</w:t>
      </w:r>
    </w:p>
    <w:p w14:paraId="3CA30E50"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Доля обращений юридических лиц от общего числа незначительна и составляет 22,8% (13). Вместе с тем таких обращений в суды поступило в три раза больше чем в 2015 году (4).</w:t>
      </w:r>
    </w:p>
    <w:p w14:paraId="5668DA65"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Всего в 2016 году по результатам рассмотрения обращений, судами удовлетворено 15 обращений, что составляет 26,3% от общего числа обращений, в  2015 году этот показатель составлял 46,4%.</w:t>
      </w:r>
    </w:p>
    <w:p w14:paraId="0F8F2B89"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 xml:space="preserve">Вместе с этим судами принято решений об отказе в удовлетворении 36 обращений, что составляет 63,2 % от общего числа рассмотренных, в 2015 году это показатель составил 39,2 %. </w:t>
      </w:r>
    </w:p>
    <w:p w14:paraId="367EDC26" w14:textId="26BE9061"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 xml:space="preserve">Наибольшее количество обращений из общего числа составляют обращения в сфере жилищных и земельных отношений 71,9% (40), что на 110,5 %  больше по сравнению с 2015 годом (19), из них: </w:t>
      </w:r>
      <w:r w:rsidR="007576D2">
        <w:rPr>
          <w:rFonts w:ascii="Times New Roman" w:hAnsi="Times New Roman" w:cs="Times New Roman"/>
          <w:sz w:val="28"/>
          <w:szCs w:val="28"/>
          <w:lang w:eastAsia="ru-RU"/>
        </w:rPr>
        <w:t xml:space="preserve"> </w:t>
      </w:r>
      <w:r w:rsidRPr="0013502F">
        <w:rPr>
          <w:rFonts w:ascii="Times New Roman" w:hAnsi="Times New Roman" w:cs="Times New Roman"/>
          <w:sz w:val="28"/>
          <w:szCs w:val="28"/>
          <w:lang w:eastAsia="ru-RU"/>
        </w:rPr>
        <w:t>удовлетворено - 10, что составляет 25% от числа поданных обращений данной категории, в 2015 году этот показатель составил 63,2%;</w:t>
      </w:r>
      <w:r w:rsidR="007576D2">
        <w:rPr>
          <w:rFonts w:ascii="Times New Roman" w:hAnsi="Times New Roman" w:cs="Times New Roman"/>
          <w:sz w:val="28"/>
          <w:szCs w:val="28"/>
          <w:lang w:eastAsia="ru-RU"/>
        </w:rPr>
        <w:t xml:space="preserve"> </w:t>
      </w:r>
      <w:r w:rsidRPr="0013502F">
        <w:rPr>
          <w:rFonts w:ascii="Times New Roman" w:hAnsi="Times New Roman" w:cs="Times New Roman"/>
          <w:sz w:val="28"/>
          <w:szCs w:val="28"/>
          <w:lang w:eastAsia="ru-RU"/>
        </w:rPr>
        <w:t>отказано в удовлетворении – 24, что составляет 60% от числа поданных обращений данной категории, в 2015 году этот показатель составил 32%, что показывает положительную динамику.</w:t>
      </w:r>
    </w:p>
    <w:p w14:paraId="67D394D6" w14:textId="17869FB6" w:rsidR="007576D2"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Динамика показателей обжалованных в суды действий (бездействий) органов Администрации города Ханты-Мансийска в 2016 году показывает эффективность деятельности органов Администрации города Ханты-Мансийска по сравнению с 2015 годом</w:t>
      </w:r>
      <w:r w:rsidR="007576D2">
        <w:rPr>
          <w:rFonts w:ascii="Times New Roman" w:hAnsi="Times New Roman" w:cs="Times New Roman"/>
          <w:sz w:val="28"/>
          <w:szCs w:val="28"/>
          <w:lang w:eastAsia="ru-RU"/>
        </w:rPr>
        <w:t xml:space="preserve"> (Таблица 2)</w:t>
      </w:r>
      <w:r w:rsidRPr="0013502F">
        <w:rPr>
          <w:rFonts w:ascii="Times New Roman" w:hAnsi="Times New Roman" w:cs="Times New Roman"/>
          <w:sz w:val="28"/>
          <w:szCs w:val="28"/>
          <w:lang w:eastAsia="ru-RU"/>
        </w:rPr>
        <w:t>.</w:t>
      </w:r>
    </w:p>
    <w:p w14:paraId="2A110AE1" w14:textId="77777777" w:rsidR="007576D2" w:rsidRDefault="007576D2" w:rsidP="007576D2">
      <w:pPr>
        <w:jc w:val="center"/>
        <w:rPr>
          <w:rFonts w:ascii="Times New Roman" w:hAnsi="Times New Roman" w:cs="Times New Roman"/>
          <w:sz w:val="28"/>
          <w:szCs w:val="28"/>
        </w:rPr>
        <w:sectPr w:rsidR="007576D2" w:rsidSect="007576D2">
          <w:pgSz w:w="11906" w:h="16838"/>
          <w:pgMar w:top="851" w:right="851" w:bottom="1134" w:left="1134" w:header="709" w:footer="709" w:gutter="0"/>
          <w:cols w:space="708"/>
          <w:docGrid w:linePitch="360"/>
        </w:sectPr>
      </w:pPr>
      <w:r>
        <w:rPr>
          <w:rFonts w:ascii="Times New Roman" w:hAnsi="Times New Roman" w:cs="Times New Roman"/>
          <w:sz w:val="28"/>
          <w:szCs w:val="28"/>
        </w:rPr>
        <w:br w:type="page"/>
      </w:r>
    </w:p>
    <w:p w14:paraId="22A9D03A" w14:textId="67A60301" w:rsidR="007576D2" w:rsidRDefault="007576D2" w:rsidP="007576D2">
      <w:pPr>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14:paraId="711B34E2" w14:textId="37D96554" w:rsidR="007576D2" w:rsidRPr="0013502F" w:rsidRDefault="007576D2" w:rsidP="007576D2">
      <w:pPr>
        <w:jc w:val="center"/>
        <w:rPr>
          <w:rFonts w:ascii="Times New Roman" w:hAnsi="Times New Roman" w:cs="Times New Roman"/>
          <w:sz w:val="28"/>
          <w:szCs w:val="28"/>
        </w:rPr>
      </w:pPr>
      <w:r w:rsidRPr="0013502F">
        <w:rPr>
          <w:rFonts w:ascii="Times New Roman" w:hAnsi="Times New Roman" w:cs="Times New Roman"/>
          <w:sz w:val="28"/>
          <w:szCs w:val="28"/>
        </w:rPr>
        <w:t>Количество допущенных нарушений прав граждан</w:t>
      </w:r>
    </w:p>
    <w:p w14:paraId="3BC8C334"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и юридических лиц, подтвержденных судебными актами</w:t>
      </w:r>
    </w:p>
    <w:p w14:paraId="1FF57A88"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____город Ханты-Мансийск______________</w:t>
      </w:r>
    </w:p>
    <w:p w14:paraId="276A88AD"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наименование городского округа (муниципального района)</w:t>
      </w:r>
    </w:p>
    <w:p w14:paraId="2CFF3455" w14:textId="3D0A2373" w:rsidR="007576D2" w:rsidRPr="0013502F" w:rsidRDefault="007576D2" w:rsidP="00527456">
      <w:pPr>
        <w:spacing w:after="0" w:line="240" w:lineRule="auto"/>
        <w:ind w:firstLine="709"/>
        <w:jc w:val="both"/>
        <w:rPr>
          <w:rFonts w:ascii="Times New Roman" w:hAnsi="Times New Roman" w:cs="Times New Roman"/>
          <w:sz w:val="28"/>
          <w:szCs w:val="28"/>
          <w:lang w:eastAsia="ru-RU"/>
        </w:rPr>
      </w:pPr>
    </w:p>
    <w:tbl>
      <w:tblPr>
        <w:tblW w:w="1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49"/>
        <w:gridCol w:w="632"/>
        <w:gridCol w:w="632"/>
        <w:gridCol w:w="632"/>
        <w:gridCol w:w="632"/>
        <w:gridCol w:w="632"/>
        <w:gridCol w:w="632"/>
        <w:gridCol w:w="632"/>
        <w:gridCol w:w="632"/>
        <w:gridCol w:w="632"/>
        <w:gridCol w:w="633"/>
        <w:gridCol w:w="633"/>
        <w:gridCol w:w="633"/>
        <w:gridCol w:w="633"/>
        <w:gridCol w:w="633"/>
        <w:gridCol w:w="633"/>
        <w:gridCol w:w="633"/>
        <w:gridCol w:w="633"/>
        <w:gridCol w:w="633"/>
        <w:gridCol w:w="633"/>
        <w:gridCol w:w="633"/>
        <w:gridCol w:w="633"/>
        <w:gridCol w:w="667"/>
        <w:gridCol w:w="599"/>
      </w:tblGrid>
      <w:tr w:rsidR="007576D2" w:rsidRPr="0013502F" w14:paraId="71EB296D" w14:textId="77777777" w:rsidTr="007576D2">
        <w:trPr>
          <w:jc w:val="center"/>
        </w:trPr>
        <w:tc>
          <w:tcPr>
            <w:tcW w:w="993" w:type="dxa"/>
            <w:vMerge w:val="restart"/>
            <w:vAlign w:val="center"/>
          </w:tcPr>
          <w:p w14:paraId="19C180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Орган местного самоуправления</w:t>
            </w:r>
          </w:p>
        </w:tc>
        <w:tc>
          <w:tcPr>
            <w:tcW w:w="3809" w:type="dxa"/>
            <w:gridSpan w:val="6"/>
            <w:vMerge w:val="restart"/>
            <w:vAlign w:val="center"/>
          </w:tcPr>
          <w:p w14:paraId="2F6F549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Общее количество обращений в суды на действия (бездействие) органа местного самоуправления</w:t>
            </w:r>
          </w:p>
        </w:tc>
        <w:tc>
          <w:tcPr>
            <w:tcW w:w="11390" w:type="dxa"/>
            <w:gridSpan w:val="18"/>
            <w:vAlign w:val="center"/>
          </w:tcPr>
          <w:p w14:paraId="5D0DB52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из них судами исковые требования:</w:t>
            </w:r>
          </w:p>
        </w:tc>
      </w:tr>
      <w:tr w:rsidR="007576D2" w:rsidRPr="0013502F" w14:paraId="4FB3CBC4" w14:textId="77777777" w:rsidTr="007576D2">
        <w:trPr>
          <w:jc w:val="center"/>
        </w:trPr>
        <w:tc>
          <w:tcPr>
            <w:tcW w:w="993" w:type="dxa"/>
            <w:vMerge/>
          </w:tcPr>
          <w:p w14:paraId="65A12465" w14:textId="77777777" w:rsidR="007576D2" w:rsidRPr="0013502F" w:rsidRDefault="007576D2" w:rsidP="007576D2">
            <w:pPr>
              <w:spacing w:after="0" w:line="240" w:lineRule="auto"/>
              <w:rPr>
                <w:rFonts w:ascii="Times New Roman" w:hAnsi="Times New Roman" w:cs="Times New Roman"/>
                <w:sz w:val="20"/>
                <w:szCs w:val="20"/>
              </w:rPr>
            </w:pPr>
          </w:p>
        </w:tc>
        <w:tc>
          <w:tcPr>
            <w:tcW w:w="3809" w:type="dxa"/>
            <w:gridSpan w:val="6"/>
            <w:vMerge/>
          </w:tcPr>
          <w:p w14:paraId="71FE22CF" w14:textId="77777777" w:rsidR="007576D2" w:rsidRPr="0013502F" w:rsidRDefault="007576D2" w:rsidP="007576D2">
            <w:pPr>
              <w:spacing w:after="0" w:line="240" w:lineRule="auto"/>
              <w:rPr>
                <w:rFonts w:ascii="Times New Roman" w:hAnsi="Times New Roman" w:cs="Times New Roman"/>
                <w:sz w:val="20"/>
                <w:szCs w:val="20"/>
              </w:rPr>
            </w:pPr>
          </w:p>
        </w:tc>
        <w:tc>
          <w:tcPr>
            <w:tcW w:w="3794" w:type="dxa"/>
            <w:gridSpan w:val="6"/>
          </w:tcPr>
          <w:p w14:paraId="3D8A638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удовлетворены частично</w:t>
            </w:r>
          </w:p>
        </w:tc>
        <w:tc>
          <w:tcPr>
            <w:tcW w:w="3798" w:type="dxa"/>
            <w:gridSpan w:val="6"/>
          </w:tcPr>
          <w:p w14:paraId="0118DCF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удовлетворены полностью</w:t>
            </w:r>
          </w:p>
        </w:tc>
        <w:tc>
          <w:tcPr>
            <w:tcW w:w="3798" w:type="dxa"/>
            <w:gridSpan w:val="6"/>
          </w:tcPr>
          <w:p w14:paraId="31E23FB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отказано в удовлетворении</w:t>
            </w:r>
          </w:p>
        </w:tc>
      </w:tr>
      <w:tr w:rsidR="007576D2" w:rsidRPr="0013502F" w14:paraId="6F2D27DC" w14:textId="77777777" w:rsidTr="007576D2">
        <w:trPr>
          <w:jc w:val="center"/>
        </w:trPr>
        <w:tc>
          <w:tcPr>
            <w:tcW w:w="993" w:type="dxa"/>
            <w:vMerge/>
          </w:tcPr>
          <w:p w14:paraId="3F9CF396" w14:textId="77777777" w:rsidR="007576D2" w:rsidRPr="0013502F" w:rsidRDefault="007576D2" w:rsidP="007576D2">
            <w:pPr>
              <w:spacing w:after="0" w:line="240" w:lineRule="auto"/>
              <w:rPr>
                <w:rFonts w:ascii="Times New Roman" w:hAnsi="Times New Roman" w:cs="Times New Roman"/>
                <w:sz w:val="20"/>
                <w:szCs w:val="20"/>
              </w:rPr>
            </w:pPr>
          </w:p>
        </w:tc>
        <w:tc>
          <w:tcPr>
            <w:tcW w:w="1281" w:type="dxa"/>
            <w:gridSpan w:val="2"/>
          </w:tcPr>
          <w:p w14:paraId="0339876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4" w:type="dxa"/>
            <w:gridSpan w:val="2"/>
          </w:tcPr>
          <w:p w14:paraId="510C3FF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4" w:type="dxa"/>
            <w:gridSpan w:val="2"/>
          </w:tcPr>
          <w:p w14:paraId="5DFE3CB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c>
          <w:tcPr>
            <w:tcW w:w="1264" w:type="dxa"/>
            <w:gridSpan w:val="2"/>
          </w:tcPr>
          <w:p w14:paraId="7D6B6D5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4" w:type="dxa"/>
            <w:gridSpan w:val="2"/>
          </w:tcPr>
          <w:p w14:paraId="1D4E023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6" w:type="dxa"/>
            <w:gridSpan w:val="2"/>
          </w:tcPr>
          <w:p w14:paraId="54B8A60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c>
          <w:tcPr>
            <w:tcW w:w="1266" w:type="dxa"/>
            <w:gridSpan w:val="2"/>
          </w:tcPr>
          <w:p w14:paraId="4AC5C8B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6" w:type="dxa"/>
            <w:gridSpan w:val="2"/>
          </w:tcPr>
          <w:p w14:paraId="20B1BF1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6" w:type="dxa"/>
            <w:gridSpan w:val="2"/>
          </w:tcPr>
          <w:p w14:paraId="5DFDA2E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c>
          <w:tcPr>
            <w:tcW w:w="1266" w:type="dxa"/>
            <w:gridSpan w:val="2"/>
          </w:tcPr>
          <w:p w14:paraId="66609E2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6" w:type="dxa"/>
            <w:gridSpan w:val="2"/>
          </w:tcPr>
          <w:p w14:paraId="239F937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6" w:type="dxa"/>
            <w:gridSpan w:val="2"/>
          </w:tcPr>
          <w:p w14:paraId="3BE8DB2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r>
      <w:tr w:rsidR="007576D2" w:rsidRPr="0013502F" w14:paraId="2739A3B3" w14:textId="77777777" w:rsidTr="007576D2">
        <w:trPr>
          <w:jc w:val="center"/>
        </w:trPr>
        <w:tc>
          <w:tcPr>
            <w:tcW w:w="993" w:type="dxa"/>
            <w:vMerge/>
          </w:tcPr>
          <w:p w14:paraId="325F0CF2" w14:textId="77777777" w:rsidR="007576D2" w:rsidRPr="0013502F" w:rsidRDefault="007576D2" w:rsidP="007576D2">
            <w:pPr>
              <w:spacing w:after="0" w:line="240" w:lineRule="auto"/>
              <w:rPr>
                <w:rFonts w:ascii="Times New Roman" w:hAnsi="Times New Roman" w:cs="Times New Roman"/>
                <w:sz w:val="20"/>
                <w:szCs w:val="20"/>
              </w:rPr>
            </w:pPr>
          </w:p>
        </w:tc>
        <w:tc>
          <w:tcPr>
            <w:tcW w:w="649" w:type="dxa"/>
          </w:tcPr>
          <w:p w14:paraId="03807AA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72EE313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36E3991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r w:rsidRPr="0013502F">
              <w:rPr>
                <w:rFonts w:ascii="Times New Roman" w:eastAsia="Times New Roman" w:hAnsi="Times New Roman" w:cs="Times New Roman"/>
                <w:sz w:val="20"/>
                <w:szCs w:val="20"/>
                <w:lang w:val="en-US" w:eastAsia="ru-RU"/>
              </w:rPr>
              <w:t>-</w:t>
            </w:r>
            <w:r w:rsidRPr="0013502F">
              <w:rPr>
                <w:rFonts w:ascii="Times New Roman" w:eastAsia="Times New Roman" w:hAnsi="Times New Roman" w:cs="Times New Roman"/>
                <w:sz w:val="20"/>
                <w:szCs w:val="20"/>
                <w:lang w:eastAsia="ru-RU"/>
              </w:rPr>
              <w:t>дические лица</w:t>
            </w:r>
          </w:p>
        </w:tc>
        <w:tc>
          <w:tcPr>
            <w:tcW w:w="632" w:type="dxa"/>
          </w:tcPr>
          <w:p w14:paraId="547526E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2D61549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09F5F57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3BD60E2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2" w:type="dxa"/>
          </w:tcPr>
          <w:p w14:paraId="1DE9ABB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286C374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5A91B5C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22F746F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2" w:type="dxa"/>
          </w:tcPr>
          <w:p w14:paraId="036B64D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4A08CC3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4E8F760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70B0DEA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2" w:type="dxa"/>
          </w:tcPr>
          <w:p w14:paraId="4C59EE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3110420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57C1AD3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3C1E999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3" w:type="dxa"/>
          </w:tcPr>
          <w:p w14:paraId="7CF7907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406F330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050553C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386B068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3" w:type="dxa"/>
          </w:tcPr>
          <w:p w14:paraId="7CE5523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048FC92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1B2551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01B4CEB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3" w:type="dxa"/>
          </w:tcPr>
          <w:p w14:paraId="106BA1F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0C3260C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03B6573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053C3B3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3" w:type="dxa"/>
          </w:tcPr>
          <w:p w14:paraId="72B9425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4833D44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0762C62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7358F91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33" w:type="dxa"/>
          </w:tcPr>
          <w:p w14:paraId="375904A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w:t>
            </w:r>
          </w:p>
          <w:p w14:paraId="6D13788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чес</w:t>
            </w:r>
          </w:p>
          <w:p w14:paraId="1F034C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5C9E71F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45869ED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w:t>
            </w:r>
          </w:p>
          <w:p w14:paraId="5887977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ские лица</w:t>
            </w:r>
          </w:p>
        </w:tc>
        <w:tc>
          <w:tcPr>
            <w:tcW w:w="633" w:type="dxa"/>
          </w:tcPr>
          <w:p w14:paraId="64CA540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физичес</w:t>
            </w:r>
          </w:p>
          <w:p w14:paraId="4107237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49E803D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64E81B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c>
          <w:tcPr>
            <w:tcW w:w="667" w:type="dxa"/>
          </w:tcPr>
          <w:p w14:paraId="377DB45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физи</w:t>
            </w:r>
          </w:p>
          <w:p w14:paraId="6C7C90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чес</w:t>
            </w:r>
          </w:p>
          <w:p w14:paraId="01B1F4A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599" w:type="dxa"/>
          </w:tcPr>
          <w:p w14:paraId="2303095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юри</w:t>
            </w:r>
          </w:p>
          <w:p w14:paraId="468995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дические лица</w:t>
            </w:r>
          </w:p>
        </w:tc>
      </w:tr>
      <w:tr w:rsidR="007576D2" w:rsidRPr="0013502F" w14:paraId="0E23778E" w14:textId="77777777" w:rsidTr="007576D2">
        <w:trPr>
          <w:jc w:val="center"/>
        </w:trPr>
        <w:tc>
          <w:tcPr>
            <w:tcW w:w="993" w:type="dxa"/>
          </w:tcPr>
          <w:p w14:paraId="6949CD16"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Всего, в том числе по направлениям:</w:t>
            </w:r>
          </w:p>
        </w:tc>
        <w:tc>
          <w:tcPr>
            <w:tcW w:w="649" w:type="dxa"/>
            <w:vAlign w:val="bottom"/>
          </w:tcPr>
          <w:p w14:paraId="4F4DB4A2"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30</w:t>
            </w:r>
          </w:p>
        </w:tc>
        <w:tc>
          <w:tcPr>
            <w:tcW w:w="632" w:type="dxa"/>
            <w:vAlign w:val="bottom"/>
          </w:tcPr>
          <w:p w14:paraId="73179D6A"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4</w:t>
            </w:r>
          </w:p>
        </w:tc>
        <w:tc>
          <w:tcPr>
            <w:tcW w:w="632" w:type="dxa"/>
            <w:vAlign w:val="bottom"/>
          </w:tcPr>
          <w:p w14:paraId="6BFEE14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24</w:t>
            </w:r>
          </w:p>
        </w:tc>
        <w:tc>
          <w:tcPr>
            <w:tcW w:w="632" w:type="dxa"/>
            <w:vAlign w:val="bottom"/>
          </w:tcPr>
          <w:p w14:paraId="2C15E8C4"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4</w:t>
            </w:r>
          </w:p>
        </w:tc>
        <w:tc>
          <w:tcPr>
            <w:tcW w:w="632" w:type="dxa"/>
            <w:vAlign w:val="bottom"/>
          </w:tcPr>
          <w:p w14:paraId="5F8F7E0B"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44</w:t>
            </w:r>
          </w:p>
        </w:tc>
        <w:tc>
          <w:tcPr>
            <w:tcW w:w="632" w:type="dxa"/>
            <w:vAlign w:val="bottom"/>
          </w:tcPr>
          <w:p w14:paraId="1EE359D8"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13</w:t>
            </w:r>
          </w:p>
        </w:tc>
        <w:tc>
          <w:tcPr>
            <w:tcW w:w="632" w:type="dxa"/>
            <w:vAlign w:val="bottom"/>
          </w:tcPr>
          <w:p w14:paraId="12FA71E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2" w:type="dxa"/>
            <w:vAlign w:val="bottom"/>
          </w:tcPr>
          <w:p w14:paraId="2CEFD0B5"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07266EEC"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687A0BE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w:t>
            </w:r>
          </w:p>
        </w:tc>
        <w:tc>
          <w:tcPr>
            <w:tcW w:w="633" w:type="dxa"/>
            <w:vAlign w:val="bottom"/>
          </w:tcPr>
          <w:p w14:paraId="2D288C2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3</w:t>
            </w:r>
          </w:p>
        </w:tc>
        <w:tc>
          <w:tcPr>
            <w:tcW w:w="633" w:type="dxa"/>
            <w:vAlign w:val="bottom"/>
          </w:tcPr>
          <w:p w14:paraId="07952363"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w:t>
            </w:r>
          </w:p>
        </w:tc>
        <w:tc>
          <w:tcPr>
            <w:tcW w:w="633" w:type="dxa"/>
            <w:vAlign w:val="bottom"/>
          </w:tcPr>
          <w:p w14:paraId="7F7B4C6D"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21</w:t>
            </w:r>
          </w:p>
        </w:tc>
        <w:tc>
          <w:tcPr>
            <w:tcW w:w="633" w:type="dxa"/>
            <w:vAlign w:val="bottom"/>
          </w:tcPr>
          <w:p w14:paraId="382FEC08"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w:t>
            </w:r>
          </w:p>
        </w:tc>
        <w:tc>
          <w:tcPr>
            <w:tcW w:w="633" w:type="dxa"/>
            <w:vAlign w:val="bottom"/>
          </w:tcPr>
          <w:p w14:paraId="217EC11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12</w:t>
            </w:r>
          </w:p>
        </w:tc>
        <w:tc>
          <w:tcPr>
            <w:tcW w:w="633" w:type="dxa"/>
            <w:vAlign w:val="bottom"/>
          </w:tcPr>
          <w:p w14:paraId="16C2E641"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4E07FCFE"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10</w:t>
            </w:r>
          </w:p>
        </w:tc>
        <w:tc>
          <w:tcPr>
            <w:tcW w:w="633" w:type="dxa"/>
            <w:vAlign w:val="bottom"/>
          </w:tcPr>
          <w:p w14:paraId="23816AA7"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5</w:t>
            </w:r>
          </w:p>
        </w:tc>
        <w:tc>
          <w:tcPr>
            <w:tcW w:w="633" w:type="dxa"/>
            <w:vAlign w:val="bottom"/>
          </w:tcPr>
          <w:p w14:paraId="36E53BFF"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9</w:t>
            </w:r>
          </w:p>
        </w:tc>
        <w:tc>
          <w:tcPr>
            <w:tcW w:w="633" w:type="dxa"/>
            <w:vAlign w:val="bottom"/>
          </w:tcPr>
          <w:p w14:paraId="133B6960"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69464324"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10</w:t>
            </w:r>
          </w:p>
        </w:tc>
        <w:tc>
          <w:tcPr>
            <w:tcW w:w="633" w:type="dxa"/>
            <w:vAlign w:val="bottom"/>
          </w:tcPr>
          <w:p w14:paraId="478AAFE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67" w:type="dxa"/>
            <w:vAlign w:val="bottom"/>
          </w:tcPr>
          <w:p w14:paraId="2E8B9D2B"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29</w:t>
            </w:r>
          </w:p>
        </w:tc>
        <w:tc>
          <w:tcPr>
            <w:tcW w:w="599" w:type="dxa"/>
            <w:vAlign w:val="bottom"/>
          </w:tcPr>
          <w:p w14:paraId="3D194972"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7</w:t>
            </w:r>
          </w:p>
        </w:tc>
      </w:tr>
      <w:tr w:rsidR="007576D2" w:rsidRPr="0013502F" w14:paraId="70335143" w14:textId="77777777" w:rsidTr="007576D2">
        <w:trPr>
          <w:jc w:val="center"/>
        </w:trPr>
        <w:tc>
          <w:tcPr>
            <w:tcW w:w="993" w:type="dxa"/>
          </w:tcPr>
          <w:p w14:paraId="01AE2D99"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малое пред-принимательство</w:t>
            </w:r>
          </w:p>
        </w:tc>
        <w:tc>
          <w:tcPr>
            <w:tcW w:w="649" w:type="dxa"/>
            <w:vAlign w:val="bottom"/>
          </w:tcPr>
          <w:p w14:paraId="121804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3E6211C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3517A0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7C2495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38535D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86EAC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8E07EC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76BF17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31BD21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D570D4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FA61A1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244ADE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FCFD8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3A3045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FEB3B3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E4BF8F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399D30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F40693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512128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15D252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D6607E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E4AFDF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5DFECC8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12F8DC9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1D0715B7" w14:textId="77777777" w:rsidTr="007576D2">
        <w:trPr>
          <w:jc w:val="center"/>
        </w:trPr>
        <w:tc>
          <w:tcPr>
            <w:tcW w:w="993" w:type="dxa"/>
          </w:tcPr>
          <w:p w14:paraId="7BC17152"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жилищно-коммунальный комплекс</w:t>
            </w:r>
          </w:p>
        </w:tc>
        <w:tc>
          <w:tcPr>
            <w:tcW w:w="649" w:type="dxa"/>
            <w:vAlign w:val="bottom"/>
          </w:tcPr>
          <w:p w14:paraId="47254BE7" w14:textId="7B2AE905"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2" w:type="dxa"/>
            <w:vAlign w:val="bottom"/>
          </w:tcPr>
          <w:p w14:paraId="7CDDB328" w14:textId="2FE10991"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2" w:type="dxa"/>
            <w:vAlign w:val="bottom"/>
          </w:tcPr>
          <w:p w14:paraId="602F085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7606A7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8E053A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0F62F5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F841319" w14:textId="092EA373"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2" w:type="dxa"/>
            <w:vAlign w:val="bottom"/>
          </w:tcPr>
          <w:p w14:paraId="78DD79C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3959D0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DB54E2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F836A9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F9CB61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A03442A" w14:textId="29062A89"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3" w:type="dxa"/>
            <w:vAlign w:val="bottom"/>
          </w:tcPr>
          <w:p w14:paraId="0A5AB9A1" w14:textId="00223046"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3" w:type="dxa"/>
            <w:vAlign w:val="bottom"/>
          </w:tcPr>
          <w:p w14:paraId="55901C1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491BC6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5F66BE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97442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B1D887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7084AD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42AFF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0A2621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1098B63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4D930A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6603515F" w14:textId="77777777" w:rsidTr="007576D2">
        <w:trPr>
          <w:jc w:val="center"/>
        </w:trPr>
        <w:tc>
          <w:tcPr>
            <w:tcW w:w="993" w:type="dxa"/>
          </w:tcPr>
          <w:p w14:paraId="33D8C3F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строи-тель-ство</w:t>
            </w:r>
          </w:p>
        </w:tc>
        <w:tc>
          <w:tcPr>
            <w:tcW w:w="649" w:type="dxa"/>
            <w:vAlign w:val="bottom"/>
          </w:tcPr>
          <w:p w14:paraId="1DE24381"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11</w:t>
            </w:r>
          </w:p>
        </w:tc>
        <w:tc>
          <w:tcPr>
            <w:tcW w:w="632" w:type="dxa"/>
            <w:vAlign w:val="bottom"/>
          </w:tcPr>
          <w:p w14:paraId="0C4479D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3A03F07F"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5</w:t>
            </w:r>
          </w:p>
        </w:tc>
        <w:tc>
          <w:tcPr>
            <w:tcW w:w="632" w:type="dxa"/>
            <w:vAlign w:val="bottom"/>
          </w:tcPr>
          <w:p w14:paraId="442E107A"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w:t>
            </w:r>
          </w:p>
        </w:tc>
        <w:tc>
          <w:tcPr>
            <w:tcW w:w="632" w:type="dxa"/>
            <w:vAlign w:val="bottom"/>
          </w:tcPr>
          <w:p w14:paraId="363AF814"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6</w:t>
            </w:r>
          </w:p>
        </w:tc>
        <w:tc>
          <w:tcPr>
            <w:tcW w:w="632" w:type="dxa"/>
            <w:vAlign w:val="bottom"/>
          </w:tcPr>
          <w:p w14:paraId="0F4BF65A"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11</w:t>
            </w:r>
          </w:p>
        </w:tc>
        <w:tc>
          <w:tcPr>
            <w:tcW w:w="632" w:type="dxa"/>
            <w:vAlign w:val="bottom"/>
          </w:tcPr>
          <w:p w14:paraId="7036A16D"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7ADBBE6B"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5B24F765"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3433C684"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3" w:type="dxa"/>
            <w:vAlign w:val="bottom"/>
          </w:tcPr>
          <w:p w14:paraId="41539437"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3E69C8CA"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0</w:t>
            </w:r>
          </w:p>
        </w:tc>
        <w:tc>
          <w:tcPr>
            <w:tcW w:w="633" w:type="dxa"/>
            <w:vAlign w:val="bottom"/>
          </w:tcPr>
          <w:p w14:paraId="7B48B9C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4</w:t>
            </w:r>
          </w:p>
        </w:tc>
        <w:tc>
          <w:tcPr>
            <w:tcW w:w="633" w:type="dxa"/>
            <w:vAlign w:val="bottom"/>
          </w:tcPr>
          <w:p w14:paraId="300D1E88"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3" w:type="dxa"/>
            <w:vAlign w:val="bottom"/>
          </w:tcPr>
          <w:p w14:paraId="02590347"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3" w:type="dxa"/>
            <w:vAlign w:val="bottom"/>
          </w:tcPr>
          <w:p w14:paraId="2BDF734A"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3656B614"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3793DFBA"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5</w:t>
            </w:r>
          </w:p>
        </w:tc>
        <w:tc>
          <w:tcPr>
            <w:tcW w:w="633" w:type="dxa"/>
            <w:vAlign w:val="bottom"/>
          </w:tcPr>
          <w:p w14:paraId="3EFAC0D5"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7</w:t>
            </w:r>
          </w:p>
        </w:tc>
        <w:tc>
          <w:tcPr>
            <w:tcW w:w="633" w:type="dxa"/>
            <w:vAlign w:val="bottom"/>
          </w:tcPr>
          <w:p w14:paraId="34C47230"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6F5D67DD"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5</w:t>
            </w:r>
          </w:p>
        </w:tc>
        <w:tc>
          <w:tcPr>
            <w:tcW w:w="633" w:type="dxa"/>
            <w:vAlign w:val="bottom"/>
          </w:tcPr>
          <w:p w14:paraId="6D666D9D"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67" w:type="dxa"/>
            <w:vAlign w:val="bottom"/>
          </w:tcPr>
          <w:p w14:paraId="0D88024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6</w:t>
            </w:r>
          </w:p>
        </w:tc>
        <w:tc>
          <w:tcPr>
            <w:tcW w:w="599" w:type="dxa"/>
            <w:vAlign w:val="bottom"/>
          </w:tcPr>
          <w:p w14:paraId="35CBC9A3"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6</w:t>
            </w:r>
          </w:p>
        </w:tc>
      </w:tr>
      <w:tr w:rsidR="007576D2" w:rsidRPr="0013502F" w14:paraId="6076AF66" w14:textId="77777777" w:rsidTr="007576D2">
        <w:trPr>
          <w:jc w:val="center"/>
        </w:trPr>
        <w:tc>
          <w:tcPr>
            <w:tcW w:w="993" w:type="dxa"/>
          </w:tcPr>
          <w:p w14:paraId="28559D9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lastRenderedPageBreak/>
              <w:t>здравоохранение</w:t>
            </w:r>
          </w:p>
        </w:tc>
        <w:tc>
          <w:tcPr>
            <w:tcW w:w="649" w:type="dxa"/>
            <w:vAlign w:val="bottom"/>
          </w:tcPr>
          <w:p w14:paraId="778AF8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95CE6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BFAC36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E27143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C3E8A7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653024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98BFC3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A58C02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9D1362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A17F5D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43E703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A63387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B7AAC5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C3331E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30EDEC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C868E5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10F124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A3CAE2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4F27DF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5D6439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7ECDFA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54D396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0E9EEFC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02610E8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7924016B" w14:textId="77777777" w:rsidTr="007576D2">
        <w:trPr>
          <w:jc w:val="center"/>
        </w:trPr>
        <w:tc>
          <w:tcPr>
            <w:tcW w:w="993" w:type="dxa"/>
          </w:tcPr>
          <w:p w14:paraId="4433C6E8"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образование</w:t>
            </w:r>
          </w:p>
        </w:tc>
        <w:tc>
          <w:tcPr>
            <w:tcW w:w="649" w:type="dxa"/>
            <w:vAlign w:val="bottom"/>
          </w:tcPr>
          <w:p w14:paraId="11627D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A75CC2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425CB8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8FE18A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705200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AAB7AF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F98892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9D284F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C43015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197671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85B646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5289FD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288A05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E7C345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DF209A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68860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EBD12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6C4A27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09A418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68D14AE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032B4C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44D95E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5F7D6CF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69C9ADF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4C671424" w14:textId="77777777" w:rsidTr="007576D2">
        <w:trPr>
          <w:jc w:val="center"/>
        </w:trPr>
        <w:tc>
          <w:tcPr>
            <w:tcW w:w="993" w:type="dxa"/>
          </w:tcPr>
          <w:p w14:paraId="75576F83"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жилищныеи земельные отношения</w:t>
            </w:r>
          </w:p>
        </w:tc>
        <w:tc>
          <w:tcPr>
            <w:tcW w:w="649" w:type="dxa"/>
            <w:vAlign w:val="bottom"/>
          </w:tcPr>
          <w:p w14:paraId="365DE85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rPr>
              <w:t>1</w:t>
            </w:r>
            <w:r w:rsidRPr="0013502F">
              <w:rPr>
                <w:rFonts w:ascii="Times New Roman" w:hAnsi="Times New Roman" w:cs="Times New Roman"/>
                <w:sz w:val="20"/>
                <w:lang w:val="en-US"/>
              </w:rPr>
              <w:t>9</w:t>
            </w:r>
          </w:p>
        </w:tc>
        <w:tc>
          <w:tcPr>
            <w:tcW w:w="632" w:type="dxa"/>
            <w:vAlign w:val="bottom"/>
          </w:tcPr>
          <w:p w14:paraId="4BA7B6F6"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7C22D547"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19</w:t>
            </w:r>
          </w:p>
        </w:tc>
        <w:tc>
          <w:tcPr>
            <w:tcW w:w="632" w:type="dxa"/>
            <w:vAlign w:val="bottom"/>
          </w:tcPr>
          <w:p w14:paraId="5F5D03C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2" w:type="dxa"/>
            <w:vAlign w:val="bottom"/>
          </w:tcPr>
          <w:p w14:paraId="0E677E7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38</w:t>
            </w:r>
          </w:p>
        </w:tc>
        <w:tc>
          <w:tcPr>
            <w:tcW w:w="632" w:type="dxa"/>
            <w:vAlign w:val="bottom"/>
          </w:tcPr>
          <w:p w14:paraId="336AFDB6"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2</w:t>
            </w:r>
          </w:p>
        </w:tc>
        <w:tc>
          <w:tcPr>
            <w:tcW w:w="632" w:type="dxa"/>
            <w:vAlign w:val="bottom"/>
          </w:tcPr>
          <w:p w14:paraId="2A93F33B"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08E6D62F"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1AB381F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738CF595"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01B638B6"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3</w:t>
            </w:r>
          </w:p>
        </w:tc>
        <w:tc>
          <w:tcPr>
            <w:tcW w:w="633" w:type="dxa"/>
            <w:vAlign w:val="bottom"/>
          </w:tcPr>
          <w:p w14:paraId="46AA6107"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w:t>
            </w:r>
          </w:p>
        </w:tc>
        <w:tc>
          <w:tcPr>
            <w:tcW w:w="633" w:type="dxa"/>
            <w:vAlign w:val="bottom"/>
          </w:tcPr>
          <w:p w14:paraId="11592B41"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17</w:t>
            </w:r>
          </w:p>
        </w:tc>
        <w:tc>
          <w:tcPr>
            <w:tcW w:w="633" w:type="dxa"/>
            <w:vAlign w:val="bottom"/>
          </w:tcPr>
          <w:p w14:paraId="24DD21B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526295A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rPr>
              <w:t>1</w:t>
            </w:r>
            <w:r w:rsidRPr="0013502F">
              <w:rPr>
                <w:rFonts w:ascii="Times New Roman" w:hAnsi="Times New Roman" w:cs="Times New Roman"/>
                <w:sz w:val="20"/>
                <w:lang w:val="en-US"/>
              </w:rPr>
              <w:t>2</w:t>
            </w:r>
          </w:p>
        </w:tc>
        <w:tc>
          <w:tcPr>
            <w:tcW w:w="633" w:type="dxa"/>
            <w:vAlign w:val="bottom"/>
          </w:tcPr>
          <w:p w14:paraId="2B135E3D"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3" w:type="dxa"/>
            <w:vAlign w:val="bottom"/>
          </w:tcPr>
          <w:p w14:paraId="211323B4"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rPr>
              <w:t>1</w:t>
            </w:r>
            <w:r w:rsidRPr="0013502F">
              <w:rPr>
                <w:rFonts w:ascii="Times New Roman" w:hAnsi="Times New Roman" w:cs="Times New Roman"/>
                <w:b/>
                <w:sz w:val="20"/>
                <w:lang w:val="en-US"/>
              </w:rPr>
              <w:t>0</w:t>
            </w:r>
          </w:p>
        </w:tc>
        <w:tc>
          <w:tcPr>
            <w:tcW w:w="633" w:type="dxa"/>
            <w:vAlign w:val="bottom"/>
          </w:tcPr>
          <w:p w14:paraId="764D6630"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12562950"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3" w:type="dxa"/>
            <w:vAlign w:val="bottom"/>
          </w:tcPr>
          <w:p w14:paraId="0E7BAED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39F03518"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5</w:t>
            </w:r>
          </w:p>
        </w:tc>
        <w:tc>
          <w:tcPr>
            <w:tcW w:w="633" w:type="dxa"/>
            <w:vAlign w:val="bottom"/>
          </w:tcPr>
          <w:p w14:paraId="4F31A745"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67" w:type="dxa"/>
            <w:vAlign w:val="bottom"/>
          </w:tcPr>
          <w:p w14:paraId="3EEADBD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23</w:t>
            </w:r>
          </w:p>
        </w:tc>
        <w:tc>
          <w:tcPr>
            <w:tcW w:w="599" w:type="dxa"/>
            <w:vAlign w:val="bottom"/>
          </w:tcPr>
          <w:p w14:paraId="5300451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w:t>
            </w:r>
          </w:p>
        </w:tc>
      </w:tr>
      <w:tr w:rsidR="007576D2" w:rsidRPr="0013502F" w14:paraId="35E02998" w14:textId="77777777" w:rsidTr="007576D2">
        <w:trPr>
          <w:jc w:val="center"/>
        </w:trPr>
        <w:tc>
          <w:tcPr>
            <w:tcW w:w="993" w:type="dxa"/>
          </w:tcPr>
          <w:p w14:paraId="297C76EE"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правила благоустройства территории города</w:t>
            </w:r>
          </w:p>
        </w:tc>
        <w:tc>
          <w:tcPr>
            <w:tcW w:w="649" w:type="dxa"/>
            <w:vAlign w:val="bottom"/>
          </w:tcPr>
          <w:p w14:paraId="26EB57BD"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2D91A7E2"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47E241BF"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4E01228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2" w:type="dxa"/>
            <w:vAlign w:val="bottom"/>
          </w:tcPr>
          <w:p w14:paraId="1C95EB89"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2" w:type="dxa"/>
            <w:vAlign w:val="bottom"/>
          </w:tcPr>
          <w:p w14:paraId="3E79A87B"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0</w:t>
            </w:r>
          </w:p>
        </w:tc>
        <w:tc>
          <w:tcPr>
            <w:tcW w:w="632" w:type="dxa"/>
            <w:vAlign w:val="bottom"/>
          </w:tcPr>
          <w:p w14:paraId="5C415BFC"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5272C290"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179EFD5C"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496A6D3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12EDAD8E"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4327E5BF"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0</w:t>
            </w:r>
          </w:p>
        </w:tc>
        <w:tc>
          <w:tcPr>
            <w:tcW w:w="633" w:type="dxa"/>
            <w:vAlign w:val="bottom"/>
          </w:tcPr>
          <w:p w14:paraId="6CA59CF6"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8837BA2"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572ACFD7"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0744AB7"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8631FA1"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7DC13276"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77B9C3F0"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C9EBDC2"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60E280C9"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6C737988"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67" w:type="dxa"/>
            <w:vAlign w:val="bottom"/>
          </w:tcPr>
          <w:p w14:paraId="250A406F"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599" w:type="dxa"/>
            <w:vAlign w:val="bottom"/>
          </w:tcPr>
          <w:p w14:paraId="155696B4"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r>
      <w:tr w:rsidR="007576D2" w:rsidRPr="0013502F" w14:paraId="5A676DF7" w14:textId="77777777" w:rsidTr="007576D2">
        <w:trPr>
          <w:jc w:val="center"/>
        </w:trPr>
        <w:tc>
          <w:tcPr>
            <w:tcW w:w="993" w:type="dxa"/>
          </w:tcPr>
          <w:p w14:paraId="73A87A8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и т.д.</w:t>
            </w:r>
          </w:p>
        </w:tc>
        <w:tc>
          <w:tcPr>
            <w:tcW w:w="649" w:type="dxa"/>
            <w:vAlign w:val="bottom"/>
          </w:tcPr>
          <w:p w14:paraId="2171130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9F42E7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7A852A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F783B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280D56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38697C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D7A315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3C4CF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050680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37B3A5D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1EE060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369AA4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7B67C6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ECF49A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1490AB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A2C1AA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06E67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8C4116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4DBD89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111A3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CC3D6B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011F0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6B3B63B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606D41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bl>
    <w:p w14:paraId="46FDECF3" w14:textId="77777777" w:rsidR="00B3207F" w:rsidRDefault="00B3207F" w:rsidP="00527456">
      <w:pPr>
        <w:spacing w:after="0" w:line="240" w:lineRule="auto"/>
        <w:ind w:firstLine="709"/>
        <w:rPr>
          <w:rFonts w:ascii="Times New Roman" w:hAnsi="Times New Roman" w:cs="Times New Roman"/>
          <w:sz w:val="28"/>
          <w:szCs w:val="28"/>
          <w:lang w:eastAsia="ru-RU"/>
        </w:rPr>
      </w:pPr>
    </w:p>
    <w:p w14:paraId="7248D51F" w14:textId="77777777" w:rsidR="007576D2" w:rsidRDefault="007576D2">
      <w:pPr>
        <w:rPr>
          <w:rFonts w:ascii="Times New Roman" w:hAnsi="Times New Roman" w:cs="Times New Roman"/>
          <w:b/>
          <w:sz w:val="28"/>
          <w:szCs w:val="28"/>
          <w:lang w:eastAsia="ru-RU"/>
        </w:rPr>
        <w:sectPr w:rsidR="007576D2" w:rsidSect="007576D2">
          <w:pgSz w:w="16838" w:h="11906" w:orient="landscape"/>
          <w:pgMar w:top="1134" w:right="851" w:bottom="851" w:left="1134" w:header="709" w:footer="709" w:gutter="0"/>
          <w:cols w:space="708"/>
          <w:docGrid w:linePitch="360"/>
        </w:sectPr>
      </w:pPr>
    </w:p>
    <w:p w14:paraId="167809C9" w14:textId="69F1FE4E" w:rsidR="00B90440" w:rsidRDefault="00B90440" w:rsidP="00527456">
      <w:pPr>
        <w:spacing w:after="0" w:line="240" w:lineRule="auto"/>
        <w:ind w:firstLine="709"/>
        <w:jc w:val="center"/>
        <w:rPr>
          <w:rFonts w:ascii="Times New Roman" w:hAnsi="Times New Roman" w:cs="Times New Roman"/>
          <w:b/>
          <w:sz w:val="28"/>
          <w:szCs w:val="28"/>
          <w:lang w:eastAsia="ru-RU"/>
        </w:rPr>
      </w:pPr>
      <w:r w:rsidRPr="00B90440">
        <w:rPr>
          <w:rFonts w:ascii="Times New Roman" w:hAnsi="Times New Roman" w:cs="Times New Roman"/>
          <w:b/>
          <w:sz w:val="28"/>
          <w:szCs w:val="28"/>
          <w:lang w:eastAsia="ru-RU"/>
        </w:rPr>
        <w:lastRenderedPageBreak/>
        <w:t>1.10. Состояние платежной дисциплины и инвестиционной политики в жилищно-коммунальном комплексе</w:t>
      </w:r>
    </w:p>
    <w:p w14:paraId="161C1FE4" w14:textId="77777777" w:rsidR="00B90440" w:rsidRDefault="00B90440" w:rsidP="00527456">
      <w:pPr>
        <w:spacing w:after="0" w:line="240" w:lineRule="auto"/>
        <w:jc w:val="both"/>
        <w:rPr>
          <w:rFonts w:ascii="Times New Roman" w:eastAsia="Calibri" w:hAnsi="Times New Roman" w:cs="Times New Roman"/>
          <w:sz w:val="24"/>
          <w:szCs w:val="24"/>
        </w:rPr>
      </w:pPr>
    </w:p>
    <w:p w14:paraId="50002653" w14:textId="77777777" w:rsidR="00B90440" w:rsidRPr="00B90440" w:rsidRDefault="00B90440" w:rsidP="00527456">
      <w:pPr>
        <w:spacing w:after="0" w:line="240" w:lineRule="auto"/>
        <w:ind w:firstLine="708"/>
        <w:jc w:val="both"/>
        <w:rPr>
          <w:rFonts w:ascii="Times New Roman" w:eastAsia="Calibri" w:hAnsi="Times New Roman" w:cs="Times New Roman"/>
          <w:sz w:val="28"/>
          <w:szCs w:val="28"/>
        </w:rPr>
      </w:pPr>
      <w:r w:rsidRPr="00B90440">
        <w:rPr>
          <w:rFonts w:ascii="Times New Roman" w:eastAsia="Calibri" w:hAnsi="Times New Roman" w:cs="Times New Roman"/>
          <w:sz w:val="28"/>
          <w:szCs w:val="28"/>
        </w:rPr>
        <w:t>Программа капитального ремонта общего имущества в многоквартирных домах, расположенных на территории Ханты-Мансийского автономного округа – Югры, утверждена постановлением Правительства Ханты-Мансийского автономного округа – Югры от 25.12.2013 №568-п</w:t>
      </w:r>
      <w:r>
        <w:rPr>
          <w:rFonts w:ascii="Times New Roman" w:eastAsia="Calibri" w:hAnsi="Times New Roman" w:cs="Times New Roman"/>
          <w:sz w:val="28"/>
          <w:szCs w:val="28"/>
        </w:rPr>
        <w:t>.</w:t>
      </w:r>
    </w:p>
    <w:p w14:paraId="30CB1658" w14:textId="77777777" w:rsidR="00B90440" w:rsidRPr="00B90440" w:rsidRDefault="00B90440" w:rsidP="00527456">
      <w:pPr>
        <w:spacing w:after="0" w:line="240" w:lineRule="auto"/>
        <w:ind w:firstLine="708"/>
        <w:jc w:val="both"/>
        <w:rPr>
          <w:rFonts w:ascii="Times New Roman" w:eastAsia="Calibri" w:hAnsi="Times New Roman" w:cs="Times New Roman"/>
          <w:sz w:val="28"/>
          <w:szCs w:val="28"/>
        </w:rPr>
      </w:pPr>
      <w:r w:rsidRPr="00B90440">
        <w:rPr>
          <w:rFonts w:ascii="Times New Roman" w:eastAsia="Calibri" w:hAnsi="Times New Roman" w:cs="Times New Roman"/>
          <w:sz w:val="28"/>
          <w:szCs w:val="28"/>
        </w:rPr>
        <w:t xml:space="preserve">Обязанность собственников по оплате минимальных  взносов возникла с сентября 2014 года. Уровень собираемости взносов по г. Ханты-Мансийску выше среднего уровня собираемости по Округу. </w:t>
      </w:r>
    </w:p>
    <w:p w14:paraId="7A24FFCA" w14:textId="1F64D979" w:rsidR="00B90440" w:rsidRDefault="00B90440" w:rsidP="00527456">
      <w:pPr>
        <w:spacing w:after="0" w:line="240" w:lineRule="auto"/>
        <w:ind w:right="142" w:firstLine="709"/>
        <w:jc w:val="both"/>
        <w:rPr>
          <w:rFonts w:ascii="Times New Roman" w:eastAsia="Calibri" w:hAnsi="Times New Roman" w:cs="Times New Roman"/>
          <w:sz w:val="28"/>
          <w:szCs w:val="28"/>
          <w:lang w:eastAsia="ru-RU"/>
        </w:rPr>
      </w:pPr>
      <w:r w:rsidRPr="00AB151E">
        <w:rPr>
          <w:rFonts w:ascii="Times New Roman" w:eastAsia="Calibri" w:hAnsi="Times New Roman" w:cs="Times New Roman"/>
          <w:sz w:val="28"/>
          <w:szCs w:val="28"/>
          <w:lang w:eastAsia="ru-RU"/>
        </w:rPr>
        <w:t xml:space="preserve">Собираемость обязательных взносов на капитальный ремонт по итогам 2016 года составила </w:t>
      </w:r>
      <w:r>
        <w:rPr>
          <w:rFonts w:ascii="Times New Roman" w:eastAsia="Calibri" w:hAnsi="Times New Roman" w:cs="Times New Roman"/>
          <w:sz w:val="28"/>
          <w:szCs w:val="28"/>
          <w:lang w:eastAsia="ru-RU"/>
        </w:rPr>
        <w:t>98,9</w:t>
      </w:r>
      <w:r w:rsidRPr="00AB151E">
        <w:rPr>
          <w:rFonts w:ascii="Times New Roman" w:eastAsia="Calibri" w:hAnsi="Times New Roman" w:cs="Times New Roman"/>
          <w:sz w:val="28"/>
          <w:szCs w:val="28"/>
          <w:lang w:eastAsia="ru-RU"/>
        </w:rPr>
        <w:t xml:space="preserve">% (в 2015 году 90,9%), что на </w:t>
      </w:r>
      <w:r w:rsidR="009772E6">
        <w:rPr>
          <w:rFonts w:ascii="Times New Roman" w:eastAsia="Calibri" w:hAnsi="Times New Roman" w:cs="Times New Roman"/>
          <w:sz w:val="28"/>
          <w:szCs w:val="28"/>
          <w:lang w:eastAsia="ru-RU"/>
        </w:rPr>
        <w:t>6</w:t>
      </w:r>
      <w:r w:rsidRPr="00AB151E">
        <w:rPr>
          <w:rFonts w:ascii="Times New Roman" w:eastAsia="Calibri" w:hAnsi="Times New Roman" w:cs="Times New Roman"/>
          <w:sz w:val="28"/>
          <w:szCs w:val="28"/>
          <w:lang w:eastAsia="ru-RU"/>
        </w:rPr>
        <w:t>% больше, чем в среднем по округу. Собираемость взносов с 01.09.2014 по 31.12.2016 составляет практически 99,0%, что на 20,8% больше, чем в среднем по округу.</w:t>
      </w:r>
      <w:r w:rsidR="00A35177">
        <w:rPr>
          <w:rFonts w:ascii="Times New Roman" w:eastAsia="Calibri" w:hAnsi="Times New Roman" w:cs="Times New Roman"/>
          <w:sz w:val="28"/>
          <w:szCs w:val="28"/>
          <w:lang w:eastAsia="ru-RU"/>
        </w:rPr>
        <w:t xml:space="preserve"> Наличие муниципальных инвестиционных программ отражено в таблице</w:t>
      </w:r>
      <w:r w:rsidR="00CD1036">
        <w:rPr>
          <w:rFonts w:ascii="Times New Roman" w:eastAsia="Calibri" w:hAnsi="Times New Roman" w:cs="Times New Roman"/>
          <w:sz w:val="28"/>
          <w:szCs w:val="28"/>
          <w:lang w:eastAsia="ru-RU"/>
        </w:rPr>
        <w:t xml:space="preserve"> 3</w:t>
      </w:r>
      <w:r w:rsidR="00A35177">
        <w:rPr>
          <w:rFonts w:ascii="Times New Roman" w:eastAsia="Calibri" w:hAnsi="Times New Roman" w:cs="Times New Roman"/>
          <w:sz w:val="28"/>
          <w:szCs w:val="28"/>
          <w:lang w:eastAsia="ru-RU"/>
        </w:rPr>
        <w:t>.</w:t>
      </w:r>
    </w:p>
    <w:p w14:paraId="7875CFB5" w14:textId="77777777" w:rsidR="00C746D6" w:rsidRDefault="00C746D6" w:rsidP="00527456">
      <w:pPr>
        <w:spacing w:after="0" w:line="240" w:lineRule="auto"/>
        <w:ind w:right="142" w:firstLine="709"/>
        <w:jc w:val="center"/>
        <w:rPr>
          <w:rFonts w:ascii="Times New Roman" w:eastAsia="Calibri" w:hAnsi="Times New Roman" w:cs="Times New Roman"/>
          <w:sz w:val="28"/>
          <w:szCs w:val="28"/>
          <w:lang w:eastAsia="ru-RU"/>
        </w:rPr>
      </w:pPr>
    </w:p>
    <w:p w14:paraId="5AAE3F2D" w14:textId="7AF7A735" w:rsidR="00C746D6" w:rsidRDefault="00CD1036" w:rsidP="00CD1036">
      <w:pPr>
        <w:spacing w:after="0" w:line="240" w:lineRule="auto"/>
        <w:ind w:right="142"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3</w:t>
      </w:r>
    </w:p>
    <w:p w14:paraId="69BA74E4"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Состояние платежной дисциплины и инвестиционной</w:t>
      </w:r>
    </w:p>
    <w:p w14:paraId="31233CF9"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политики в жилищно-коммунальном комплексе</w:t>
      </w:r>
    </w:p>
    <w:p w14:paraId="2FE6F6BF"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____________город Ханты-Мансийск</w:t>
      </w:r>
      <w:r w:rsidRPr="009772E6">
        <w:rPr>
          <w:rFonts w:ascii="Times New Roman" w:eastAsia="Calibri" w:hAnsi="Times New Roman" w:cs="Times New Roman"/>
          <w:sz w:val="28"/>
          <w:szCs w:val="28"/>
          <w:lang w:eastAsia="ru-RU"/>
        </w:rPr>
        <w:t>________________</w:t>
      </w:r>
    </w:p>
    <w:p w14:paraId="4A94D281" w14:textId="77777777" w:rsidR="009772E6" w:rsidRPr="00AB151E"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наименование городского округа (муниципального района</w:t>
      </w:r>
      <w:r>
        <w:rPr>
          <w:rFonts w:ascii="Times New Roman" w:eastAsia="Calibri" w:hAnsi="Times New Roman" w:cs="Times New Roman"/>
          <w:sz w:val="28"/>
          <w:szCs w:val="28"/>
          <w:lang w:eastAsia="ru-RU"/>
        </w:rPr>
        <w:t>)</w:t>
      </w:r>
    </w:p>
    <w:p w14:paraId="4A5C85E4" w14:textId="77777777" w:rsidR="00B90440" w:rsidRDefault="00B90440" w:rsidP="00527456">
      <w:pPr>
        <w:spacing w:after="0" w:line="240" w:lineRule="auto"/>
        <w:ind w:firstLine="709"/>
        <w:jc w:val="both"/>
        <w:rPr>
          <w:rFonts w:ascii="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417"/>
        <w:gridCol w:w="737"/>
        <w:gridCol w:w="680"/>
        <w:gridCol w:w="680"/>
        <w:gridCol w:w="665"/>
        <w:gridCol w:w="708"/>
        <w:gridCol w:w="709"/>
        <w:gridCol w:w="709"/>
      </w:tblGrid>
      <w:tr w:rsidR="00B90440" w:rsidRPr="00B90440" w14:paraId="51BE4934" w14:textId="77777777" w:rsidTr="009772E6">
        <w:trPr>
          <w:jc w:val="center"/>
        </w:trPr>
        <w:tc>
          <w:tcPr>
            <w:tcW w:w="510" w:type="dxa"/>
          </w:tcPr>
          <w:p w14:paraId="5A894C4D"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N п/п</w:t>
            </w:r>
          </w:p>
        </w:tc>
        <w:tc>
          <w:tcPr>
            <w:tcW w:w="3742" w:type="dxa"/>
          </w:tcPr>
          <w:p w14:paraId="604102F5"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Наименование показателя</w:t>
            </w:r>
          </w:p>
        </w:tc>
        <w:tc>
          <w:tcPr>
            <w:tcW w:w="1417" w:type="dxa"/>
          </w:tcPr>
          <w:p w14:paraId="391B5ACE"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Единица измерения</w:t>
            </w:r>
          </w:p>
        </w:tc>
        <w:tc>
          <w:tcPr>
            <w:tcW w:w="737" w:type="dxa"/>
          </w:tcPr>
          <w:p w14:paraId="69775698"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2013</w:t>
            </w:r>
          </w:p>
        </w:tc>
        <w:tc>
          <w:tcPr>
            <w:tcW w:w="680" w:type="dxa"/>
          </w:tcPr>
          <w:p w14:paraId="2241E32E"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2014</w:t>
            </w:r>
          </w:p>
        </w:tc>
        <w:tc>
          <w:tcPr>
            <w:tcW w:w="680" w:type="dxa"/>
          </w:tcPr>
          <w:p w14:paraId="54B52D02"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2015</w:t>
            </w:r>
          </w:p>
        </w:tc>
        <w:tc>
          <w:tcPr>
            <w:tcW w:w="665" w:type="dxa"/>
          </w:tcPr>
          <w:p w14:paraId="458C82A3"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2016</w:t>
            </w:r>
          </w:p>
        </w:tc>
        <w:tc>
          <w:tcPr>
            <w:tcW w:w="708" w:type="dxa"/>
          </w:tcPr>
          <w:p w14:paraId="3A7C8A0C" w14:textId="77777777" w:rsidR="00B90440" w:rsidRPr="00C50C92" w:rsidRDefault="00B90440" w:rsidP="00527456">
            <w:pPr>
              <w:pStyle w:val="ConsPlusNormal"/>
              <w:jc w:val="center"/>
              <w:rPr>
                <w:rFonts w:ascii="Times New Roman" w:hAnsi="Times New Roman" w:cs="Times New Roman"/>
              </w:rPr>
            </w:pPr>
            <w:r w:rsidRPr="00C50C92">
              <w:rPr>
                <w:rFonts w:ascii="Times New Roman" w:hAnsi="Times New Roman" w:cs="Times New Roman"/>
              </w:rPr>
              <w:t>2017</w:t>
            </w:r>
          </w:p>
        </w:tc>
        <w:tc>
          <w:tcPr>
            <w:tcW w:w="709" w:type="dxa"/>
          </w:tcPr>
          <w:p w14:paraId="56C8B83D" w14:textId="77777777" w:rsidR="00B90440" w:rsidRPr="00C50C92" w:rsidRDefault="00B90440" w:rsidP="00527456">
            <w:pPr>
              <w:pStyle w:val="ConsPlusNormal"/>
              <w:jc w:val="center"/>
              <w:rPr>
                <w:rFonts w:ascii="Times New Roman" w:hAnsi="Times New Roman" w:cs="Times New Roman"/>
              </w:rPr>
            </w:pPr>
            <w:r w:rsidRPr="00C50C92">
              <w:rPr>
                <w:rFonts w:ascii="Times New Roman" w:hAnsi="Times New Roman" w:cs="Times New Roman"/>
              </w:rPr>
              <w:t>2018</w:t>
            </w:r>
          </w:p>
        </w:tc>
        <w:tc>
          <w:tcPr>
            <w:tcW w:w="709" w:type="dxa"/>
          </w:tcPr>
          <w:p w14:paraId="6D50D9BE" w14:textId="77777777" w:rsidR="00B90440" w:rsidRPr="00C50C92" w:rsidRDefault="00B90440" w:rsidP="00527456">
            <w:pPr>
              <w:pStyle w:val="ConsPlusNormal"/>
              <w:jc w:val="center"/>
              <w:rPr>
                <w:rFonts w:ascii="Times New Roman" w:hAnsi="Times New Roman" w:cs="Times New Roman"/>
              </w:rPr>
            </w:pPr>
            <w:r w:rsidRPr="00C50C92">
              <w:rPr>
                <w:rFonts w:ascii="Times New Roman" w:hAnsi="Times New Roman" w:cs="Times New Roman"/>
              </w:rPr>
              <w:t>2019</w:t>
            </w:r>
          </w:p>
        </w:tc>
      </w:tr>
      <w:tr w:rsidR="00B90440" w:rsidRPr="00B90440" w14:paraId="408A17AE" w14:textId="77777777" w:rsidTr="009772E6">
        <w:trPr>
          <w:jc w:val="center"/>
        </w:trPr>
        <w:tc>
          <w:tcPr>
            <w:tcW w:w="510" w:type="dxa"/>
          </w:tcPr>
          <w:p w14:paraId="0C0B4169"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1.</w:t>
            </w:r>
          </w:p>
        </w:tc>
        <w:tc>
          <w:tcPr>
            <w:tcW w:w="3742" w:type="dxa"/>
          </w:tcPr>
          <w:p w14:paraId="26D913BE"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417" w:type="dxa"/>
          </w:tcPr>
          <w:p w14:paraId="70D71525"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процентов</w:t>
            </w:r>
          </w:p>
        </w:tc>
        <w:tc>
          <w:tcPr>
            <w:tcW w:w="737" w:type="dxa"/>
          </w:tcPr>
          <w:p w14:paraId="06532455"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0</w:t>
            </w:r>
          </w:p>
        </w:tc>
        <w:tc>
          <w:tcPr>
            <w:tcW w:w="680" w:type="dxa"/>
          </w:tcPr>
          <w:p w14:paraId="3EA575F8" w14:textId="77777777" w:rsidR="00B90440" w:rsidRPr="00B90440" w:rsidRDefault="00B90440" w:rsidP="00527456">
            <w:pPr>
              <w:spacing w:after="0" w:line="240" w:lineRule="auto"/>
              <w:jc w:val="center"/>
              <w:rPr>
                <w:rFonts w:ascii="Times New Roman" w:hAnsi="Times New Roman" w:cs="Times New Roman"/>
              </w:rPr>
            </w:pPr>
            <w:r w:rsidRPr="00B90440">
              <w:rPr>
                <w:rFonts w:ascii="Times New Roman" w:hAnsi="Times New Roman" w:cs="Times New Roman"/>
              </w:rPr>
              <w:t>0</w:t>
            </w:r>
          </w:p>
        </w:tc>
        <w:tc>
          <w:tcPr>
            <w:tcW w:w="680" w:type="dxa"/>
          </w:tcPr>
          <w:p w14:paraId="6CAB818F" w14:textId="77777777" w:rsidR="00B90440" w:rsidRPr="00B90440" w:rsidRDefault="00B90440" w:rsidP="00527456">
            <w:pPr>
              <w:spacing w:after="0" w:line="240" w:lineRule="auto"/>
              <w:jc w:val="center"/>
              <w:rPr>
                <w:rFonts w:ascii="Times New Roman" w:hAnsi="Times New Roman" w:cs="Times New Roman"/>
              </w:rPr>
            </w:pPr>
            <w:r w:rsidRPr="00B90440">
              <w:rPr>
                <w:rFonts w:ascii="Times New Roman" w:hAnsi="Times New Roman" w:cs="Times New Roman"/>
              </w:rPr>
              <w:t>0</w:t>
            </w:r>
          </w:p>
        </w:tc>
        <w:tc>
          <w:tcPr>
            <w:tcW w:w="665" w:type="dxa"/>
          </w:tcPr>
          <w:p w14:paraId="0A963C52" w14:textId="77777777" w:rsidR="00B90440" w:rsidRPr="00B90440" w:rsidRDefault="00B90440" w:rsidP="00527456">
            <w:pPr>
              <w:spacing w:after="0" w:line="240" w:lineRule="auto"/>
              <w:jc w:val="center"/>
              <w:rPr>
                <w:rFonts w:ascii="Times New Roman" w:hAnsi="Times New Roman" w:cs="Times New Roman"/>
              </w:rPr>
            </w:pPr>
            <w:r w:rsidRPr="00B90440">
              <w:rPr>
                <w:rFonts w:ascii="Times New Roman" w:hAnsi="Times New Roman" w:cs="Times New Roman"/>
              </w:rPr>
              <w:t>0</w:t>
            </w:r>
          </w:p>
        </w:tc>
        <w:tc>
          <w:tcPr>
            <w:tcW w:w="708" w:type="dxa"/>
          </w:tcPr>
          <w:p w14:paraId="4094C286" w14:textId="77777777" w:rsidR="00B90440" w:rsidRPr="00C50C92" w:rsidRDefault="00B90440" w:rsidP="00527456">
            <w:pPr>
              <w:spacing w:after="0" w:line="240" w:lineRule="auto"/>
              <w:jc w:val="center"/>
              <w:rPr>
                <w:rFonts w:ascii="Times New Roman" w:hAnsi="Times New Roman" w:cs="Times New Roman"/>
              </w:rPr>
            </w:pPr>
            <w:r w:rsidRPr="00C50C92">
              <w:rPr>
                <w:rFonts w:ascii="Times New Roman" w:hAnsi="Times New Roman" w:cs="Times New Roman"/>
              </w:rPr>
              <w:t>0</w:t>
            </w:r>
          </w:p>
        </w:tc>
        <w:tc>
          <w:tcPr>
            <w:tcW w:w="709" w:type="dxa"/>
          </w:tcPr>
          <w:p w14:paraId="25F75304" w14:textId="77777777" w:rsidR="00B90440" w:rsidRPr="00C50C92" w:rsidRDefault="00B90440" w:rsidP="00527456">
            <w:pPr>
              <w:spacing w:after="0" w:line="240" w:lineRule="auto"/>
              <w:jc w:val="center"/>
              <w:rPr>
                <w:rFonts w:ascii="Times New Roman" w:hAnsi="Times New Roman" w:cs="Times New Roman"/>
              </w:rPr>
            </w:pPr>
            <w:r w:rsidRPr="00C50C92">
              <w:rPr>
                <w:rFonts w:ascii="Times New Roman" w:hAnsi="Times New Roman" w:cs="Times New Roman"/>
              </w:rPr>
              <w:t>0</w:t>
            </w:r>
          </w:p>
        </w:tc>
        <w:tc>
          <w:tcPr>
            <w:tcW w:w="709" w:type="dxa"/>
          </w:tcPr>
          <w:p w14:paraId="1C388D1B" w14:textId="77777777" w:rsidR="00B90440" w:rsidRPr="00C50C92" w:rsidRDefault="00B90440" w:rsidP="00527456">
            <w:pPr>
              <w:spacing w:after="0" w:line="240" w:lineRule="auto"/>
              <w:jc w:val="center"/>
              <w:rPr>
                <w:rFonts w:ascii="Times New Roman" w:hAnsi="Times New Roman" w:cs="Times New Roman"/>
              </w:rPr>
            </w:pPr>
            <w:r w:rsidRPr="00C50C92">
              <w:rPr>
                <w:rFonts w:ascii="Times New Roman" w:hAnsi="Times New Roman" w:cs="Times New Roman"/>
              </w:rPr>
              <w:t>0</w:t>
            </w:r>
          </w:p>
        </w:tc>
      </w:tr>
      <w:tr w:rsidR="00B90440" w:rsidRPr="00B90440" w14:paraId="28BE48C9" w14:textId="77777777" w:rsidTr="009772E6">
        <w:trPr>
          <w:jc w:val="center"/>
        </w:trPr>
        <w:tc>
          <w:tcPr>
            <w:tcW w:w="510" w:type="dxa"/>
          </w:tcPr>
          <w:p w14:paraId="0CBB4402"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c>
          <w:tcPr>
            <w:tcW w:w="3742" w:type="dxa"/>
          </w:tcPr>
          <w:p w14:paraId="072CB362"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 xml:space="preserve">Уровень собираемости взносов на капитальный ремонт общего имущества многоквартирных домов </w:t>
            </w:r>
          </w:p>
        </w:tc>
        <w:tc>
          <w:tcPr>
            <w:tcW w:w="1417" w:type="dxa"/>
          </w:tcPr>
          <w:p w14:paraId="58EA61FC"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процентов</w:t>
            </w:r>
          </w:p>
        </w:tc>
        <w:tc>
          <w:tcPr>
            <w:tcW w:w="737" w:type="dxa"/>
          </w:tcPr>
          <w:p w14:paraId="32BDE0E8" w14:textId="77777777" w:rsidR="00B90440" w:rsidRPr="00B90440" w:rsidRDefault="00B90440" w:rsidP="00527456">
            <w:pPr>
              <w:pStyle w:val="ConsPlusNormal"/>
              <w:rPr>
                <w:rFonts w:ascii="Times New Roman" w:hAnsi="Times New Roman" w:cs="Times New Roman"/>
              </w:rPr>
            </w:pPr>
          </w:p>
        </w:tc>
        <w:tc>
          <w:tcPr>
            <w:tcW w:w="680" w:type="dxa"/>
          </w:tcPr>
          <w:p w14:paraId="3969EE63"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81,6</w:t>
            </w:r>
          </w:p>
        </w:tc>
        <w:tc>
          <w:tcPr>
            <w:tcW w:w="680" w:type="dxa"/>
          </w:tcPr>
          <w:p w14:paraId="2FEB1818"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90,9</w:t>
            </w:r>
          </w:p>
        </w:tc>
        <w:tc>
          <w:tcPr>
            <w:tcW w:w="665" w:type="dxa"/>
          </w:tcPr>
          <w:p w14:paraId="6908192C"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c>
          <w:tcPr>
            <w:tcW w:w="708" w:type="dxa"/>
          </w:tcPr>
          <w:p w14:paraId="76BA9F9F"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c>
          <w:tcPr>
            <w:tcW w:w="709" w:type="dxa"/>
          </w:tcPr>
          <w:p w14:paraId="708A9384"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c>
          <w:tcPr>
            <w:tcW w:w="709" w:type="dxa"/>
          </w:tcPr>
          <w:p w14:paraId="0F4A196E"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r>
      <w:tr w:rsidR="00B90440" w:rsidRPr="00B90440" w14:paraId="1D9BB094" w14:textId="77777777" w:rsidTr="009772E6">
        <w:trPr>
          <w:jc w:val="center"/>
        </w:trPr>
        <w:tc>
          <w:tcPr>
            <w:tcW w:w="510" w:type="dxa"/>
          </w:tcPr>
          <w:p w14:paraId="26FB06DC"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3.</w:t>
            </w:r>
          </w:p>
        </w:tc>
        <w:tc>
          <w:tcPr>
            <w:tcW w:w="3742" w:type="dxa"/>
          </w:tcPr>
          <w:p w14:paraId="0742F679"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417" w:type="dxa"/>
          </w:tcPr>
          <w:p w14:paraId="2EF63D8D"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в наличии</w:t>
            </w:r>
          </w:p>
        </w:tc>
        <w:tc>
          <w:tcPr>
            <w:tcW w:w="737" w:type="dxa"/>
          </w:tcPr>
          <w:p w14:paraId="37A4098A"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0</w:t>
            </w:r>
          </w:p>
        </w:tc>
        <w:tc>
          <w:tcPr>
            <w:tcW w:w="680" w:type="dxa"/>
          </w:tcPr>
          <w:p w14:paraId="2B0EB944"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0</w:t>
            </w:r>
          </w:p>
        </w:tc>
        <w:tc>
          <w:tcPr>
            <w:tcW w:w="680" w:type="dxa"/>
          </w:tcPr>
          <w:p w14:paraId="6EE64024"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1</w:t>
            </w:r>
          </w:p>
          <w:p w14:paraId="12378823" w14:textId="77777777" w:rsidR="00B90440" w:rsidRPr="00B90440" w:rsidRDefault="00B90440" w:rsidP="00527456">
            <w:pPr>
              <w:pStyle w:val="ConsPlusNormal"/>
              <w:jc w:val="center"/>
              <w:rPr>
                <w:rFonts w:ascii="Times New Roman" w:hAnsi="Times New Roman" w:cs="Times New Roman"/>
              </w:rPr>
            </w:pPr>
          </w:p>
        </w:tc>
        <w:tc>
          <w:tcPr>
            <w:tcW w:w="665" w:type="dxa"/>
          </w:tcPr>
          <w:p w14:paraId="776E5F48"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1</w:t>
            </w:r>
          </w:p>
        </w:tc>
        <w:tc>
          <w:tcPr>
            <w:tcW w:w="708" w:type="dxa"/>
          </w:tcPr>
          <w:p w14:paraId="604A52AD"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c>
          <w:tcPr>
            <w:tcW w:w="709" w:type="dxa"/>
          </w:tcPr>
          <w:p w14:paraId="1E52AB10"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c>
          <w:tcPr>
            <w:tcW w:w="709" w:type="dxa"/>
          </w:tcPr>
          <w:p w14:paraId="64795416"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r>
    </w:tbl>
    <w:p w14:paraId="78D1D669" w14:textId="77777777" w:rsidR="00B90440" w:rsidRPr="00B90440" w:rsidRDefault="00B90440" w:rsidP="00527456">
      <w:pPr>
        <w:spacing w:after="0" w:line="240" w:lineRule="auto"/>
        <w:ind w:firstLine="709"/>
        <w:jc w:val="center"/>
        <w:rPr>
          <w:rFonts w:ascii="Times New Roman" w:hAnsi="Times New Roman" w:cs="Times New Roman"/>
          <w:b/>
          <w:sz w:val="28"/>
          <w:szCs w:val="28"/>
          <w:lang w:eastAsia="ru-RU"/>
        </w:rPr>
        <w:sectPr w:rsidR="00B90440" w:rsidRPr="00B90440" w:rsidSect="007576D2">
          <w:pgSz w:w="11906" w:h="16838"/>
          <w:pgMar w:top="851" w:right="851" w:bottom="1134" w:left="1134" w:header="709" w:footer="709" w:gutter="0"/>
          <w:cols w:space="708"/>
          <w:docGrid w:linePitch="360"/>
        </w:sectPr>
      </w:pPr>
    </w:p>
    <w:p w14:paraId="4432E122" w14:textId="77777777" w:rsidR="00EB4435" w:rsidRPr="0013502F" w:rsidRDefault="00EB4435" w:rsidP="00527456">
      <w:pPr>
        <w:pStyle w:val="1"/>
        <w:spacing w:before="0" w:line="240" w:lineRule="auto"/>
        <w:ind w:firstLine="709"/>
        <w:jc w:val="center"/>
        <w:rPr>
          <w:rFonts w:ascii="Times New Roman" w:eastAsia="Calibri" w:hAnsi="Times New Roman" w:cs="Times New Roman"/>
          <w:color w:val="auto"/>
          <w:lang w:eastAsia="ru-RU"/>
        </w:rPr>
      </w:pPr>
      <w:bookmarkStart w:id="6" w:name="Par572"/>
      <w:bookmarkEnd w:id="6"/>
      <w:r w:rsidRPr="0013502F">
        <w:rPr>
          <w:rFonts w:ascii="Times New Roman" w:eastAsia="Calibri" w:hAnsi="Times New Roman" w:cs="Times New Roman"/>
          <w:color w:val="auto"/>
          <w:lang w:eastAsia="ru-RU"/>
        </w:rPr>
        <w:lastRenderedPageBreak/>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
    <w:p w14:paraId="6EF3A346" w14:textId="77777777" w:rsidR="00BE476E" w:rsidRPr="0013502F" w:rsidRDefault="00BE476E" w:rsidP="00527456">
      <w:pPr>
        <w:spacing w:after="0" w:line="240" w:lineRule="auto"/>
        <w:ind w:firstLine="709"/>
        <w:rPr>
          <w:lang w:eastAsia="ru-RU"/>
        </w:rPr>
      </w:pPr>
    </w:p>
    <w:p w14:paraId="1F4EA6DC" w14:textId="77777777" w:rsidR="008D6DF6" w:rsidRPr="0013502F" w:rsidRDefault="008D6DF6" w:rsidP="00527456">
      <w:pPr>
        <w:spacing w:after="0" w:line="240" w:lineRule="auto"/>
        <w:ind w:firstLine="709"/>
        <w:rPr>
          <w:rFonts w:ascii="Times New Roman" w:hAnsi="Times New Roman" w:cs="Times New Roman"/>
          <w:sz w:val="16"/>
          <w:szCs w:val="16"/>
          <w:lang w:eastAsia="ru-RU"/>
        </w:rPr>
      </w:pPr>
    </w:p>
    <w:tbl>
      <w:tblPr>
        <w:tblW w:w="15876" w:type="dxa"/>
        <w:tblInd w:w="-459" w:type="dxa"/>
        <w:tblLayout w:type="fixed"/>
        <w:tblLook w:val="04A0" w:firstRow="1" w:lastRow="0" w:firstColumn="1" w:lastColumn="0" w:noHBand="0" w:noVBand="1"/>
      </w:tblPr>
      <w:tblGrid>
        <w:gridCol w:w="1701"/>
        <w:gridCol w:w="4378"/>
        <w:gridCol w:w="1151"/>
        <w:gridCol w:w="992"/>
        <w:gridCol w:w="1276"/>
        <w:gridCol w:w="1275"/>
        <w:gridCol w:w="1275"/>
        <w:gridCol w:w="1277"/>
        <w:gridCol w:w="1276"/>
        <w:gridCol w:w="1275"/>
      </w:tblGrid>
      <w:tr w:rsidR="00996507" w:rsidRPr="00996507" w14:paraId="111CCA09" w14:textId="77777777" w:rsidTr="00996507">
        <w:trPr>
          <w:trHeight w:val="31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885D5"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Наименование раздела</w:t>
            </w:r>
          </w:p>
        </w:tc>
        <w:tc>
          <w:tcPr>
            <w:tcW w:w="437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631086"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Наименование показателей</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7DBDD8"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 xml:space="preserve">Единицы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E8E726"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Номер в докладе</w:t>
            </w:r>
          </w:p>
        </w:tc>
        <w:tc>
          <w:tcPr>
            <w:tcW w:w="3826" w:type="dxa"/>
            <w:gridSpan w:val="3"/>
            <w:tcBorders>
              <w:top w:val="single" w:sz="4" w:space="0" w:color="auto"/>
              <w:left w:val="nil"/>
              <w:bottom w:val="single" w:sz="4" w:space="0" w:color="auto"/>
              <w:right w:val="single" w:sz="4" w:space="0" w:color="000000"/>
            </w:tcBorders>
            <w:shd w:val="clear" w:color="auto" w:fill="auto"/>
            <w:hideMark/>
          </w:tcPr>
          <w:p w14:paraId="76F89B48"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Отчет</w:t>
            </w:r>
          </w:p>
        </w:tc>
        <w:tc>
          <w:tcPr>
            <w:tcW w:w="3828" w:type="dxa"/>
            <w:gridSpan w:val="3"/>
            <w:tcBorders>
              <w:top w:val="single" w:sz="4" w:space="0" w:color="auto"/>
              <w:left w:val="nil"/>
              <w:bottom w:val="nil"/>
              <w:right w:val="nil"/>
            </w:tcBorders>
            <w:shd w:val="clear" w:color="auto" w:fill="auto"/>
            <w:hideMark/>
          </w:tcPr>
          <w:p w14:paraId="3A6A0A60"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Прогноз</w:t>
            </w:r>
          </w:p>
        </w:tc>
      </w:tr>
      <w:tr w:rsidR="00996507" w:rsidRPr="00996507" w14:paraId="75A07D3B" w14:textId="77777777" w:rsidTr="00996507">
        <w:trPr>
          <w:trHeight w:val="319"/>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87F87D9"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4378" w:type="dxa"/>
            <w:vMerge/>
            <w:tcBorders>
              <w:top w:val="single" w:sz="4" w:space="0" w:color="auto"/>
              <w:left w:val="single" w:sz="4" w:space="0" w:color="auto"/>
              <w:bottom w:val="single" w:sz="4" w:space="0" w:color="000000"/>
              <w:right w:val="single" w:sz="4" w:space="0" w:color="auto"/>
            </w:tcBorders>
            <w:vAlign w:val="center"/>
            <w:hideMark/>
          </w:tcPr>
          <w:p w14:paraId="6F8B5BBB"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504B1536"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799141"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14:paraId="31C6663F" w14:textId="77777777" w:rsidR="00996507" w:rsidRPr="00996507" w:rsidRDefault="00996507" w:rsidP="00996507">
            <w:pPr>
              <w:spacing w:after="0" w:line="240" w:lineRule="auto"/>
              <w:ind w:left="-250" w:firstLine="250"/>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2014</w:t>
            </w:r>
          </w:p>
        </w:tc>
        <w:tc>
          <w:tcPr>
            <w:tcW w:w="1275" w:type="dxa"/>
            <w:tcBorders>
              <w:top w:val="nil"/>
              <w:left w:val="nil"/>
              <w:bottom w:val="single" w:sz="4" w:space="0" w:color="000000"/>
              <w:right w:val="single" w:sz="4" w:space="0" w:color="000000"/>
            </w:tcBorders>
            <w:shd w:val="clear" w:color="auto" w:fill="auto"/>
            <w:vAlign w:val="center"/>
            <w:hideMark/>
          </w:tcPr>
          <w:p w14:paraId="234D4D7D"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2015</w:t>
            </w:r>
          </w:p>
        </w:tc>
        <w:tc>
          <w:tcPr>
            <w:tcW w:w="1275" w:type="dxa"/>
            <w:tcBorders>
              <w:top w:val="nil"/>
              <w:left w:val="nil"/>
              <w:bottom w:val="single" w:sz="4" w:space="0" w:color="000000"/>
              <w:right w:val="single" w:sz="4" w:space="0" w:color="000000"/>
            </w:tcBorders>
            <w:shd w:val="clear" w:color="auto" w:fill="auto"/>
            <w:vAlign w:val="center"/>
            <w:hideMark/>
          </w:tcPr>
          <w:p w14:paraId="67A27CA4"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2016</w:t>
            </w:r>
          </w:p>
        </w:tc>
        <w:tc>
          <w:tcPr>
            <w:tcW w:w="1277" w:type="dxa"/>
            <w:tcBorders>
              <w:top w:val="single" w:sz="4" w:space="0" w:color="000000"/>
              <w:left w:val="nil"/>
              <w:bottom w:val="single" w:sz="4" w:space="0" w:color="000000"/>
              <w:right w:val="single" w:sz="4" w:space="0" w:color="000000"/>
            </w:tcBorders>
            <w:shd w:val="clear" w:color="auto" w:fill="auto"/>
            <w:vAlign w:val="center"/>
            <w:hideMark/>
          </w:tcPr>
          <w:p w14:paraId="5F947D50"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2017</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E9848D1"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2018</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132E6334"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2019</w:t>
            </w:r>
          </w:p>
        </w:tc>
      </w:tr>
      <w:tr w:rsidR="00996507" w:rsidRPr="00996507" w14:paraId="29855B16" w14:textId="77777777" w:rsidTr="00996507">
        <w:trPr>
          <w:trHeight w:val="76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28F13B3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Экономическое развитие</w:t>
            </w:r>
          </w:p>
        </w:tc>
        <w:tc>
          <w:tcPr>
            <w:tcW w:w="4378" w:type="dxa"/>
            <w:tcBorders>
              <w:top w:val="nil"/>
              <w:left w:val="nil"/>
              <w:bottom w:val="single" w:sz="4" w:space="0" w:color="auto"/>
              <w:right w:val="single" w:sz="4" w:space="0" w:color="auto"/>
            </w:tcBorders>
            <w:shd w:val="clear" w:color="000000" w:fill="FFFFFF"/>
            <w:hideMark/>
          </w:tcPr>
          <w:p w14:paraId="497A88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субъектов малого и среднего предпринимательства в расчете на 10 тыс.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7CCABB9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88BB21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000000"/>
              <w:right w:val="single" w:sz="4" w:space="0" w:color="000000"/>
            </w:tcBorders>
            <w:shd w:val="clear" w:color="auto" w:fill="auto"/>
            <w:noWrap/>
            <w:vAlign w:val="center"/>
            <w:hideMark/>
          </w:tcPr>
          <w:p w14:paraId="723B667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638,8</w:t>
            </w:r>
          </w:p>
        </w:tc>
        <w:tc>
          <w:tcPr>
            <w:tcW w:w="1275" w:type="dxa"/>
            <w:tcBorders>
              <w:top w:val="nil"/>
              <w:left w:val="nil"/>
              <w:bottom w:val="single" w:sz="4" w:space="0" w:color="000000"/>
              <w:right w:val="single" w:sz="4" w:space="0" w:color="000000"/>
            </w:tcBorders>
            <w:shd w:val="clear" w:color="auto" w:fill="auto"/>
            <w:noWrap/>
            <w:vAlign w:val="center"/>
            <w:hideMark/>
          </w:tcPr>
          <w:p w14:paraId="6BD765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680,0</w:t>
            </w:r>
          </w:p>
        </w:tc>
        <w:tc>
          <w:tcPr>
            <w:tcW w:w="1275" w:type="dxa"/>
            <w:tcBorders>
              <w:top w:val="nil"/>
              <w:left w:val="nil"/>
              <w:bottom w:val="single" w:sz="4" w:space="0" w:color="000000"/>
              <w:right w:val="single" w:sz="4" w:space="0" w:color="000000"/>
            </w:tcBorders>
            <w:shd w:val="clear" w:color="auto" w:fill="auto"/>
            <w:noWrap/>
            <w:vAlign w:val="center"/>
            <w:hideMark/>
          </w:tcPr>
          <w:p w14:paraId="416C69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682,2</w:t>
            </w:r>
          </w:p>
        </w:tc>
        <w:tc>
          <w:tcPr>
            <w:tcW w:w="1277" w:type="dxa"/>
            <w:tcBorders>
              <w:top w:val="nil"/>
              <w:left w:val="nil"/>
              <w:bottom w:val="single" w:sz="4" w:space="0" w:color="000000"/>
              <w:right w:val="single" w:sz="4" w:space="0" w:color="000000"/>
            </w:tcBorders>
            <w:shd w:val="clear" w:color="auto" w:fill="auto"/>
            <w:noWrap/>
            <w:vAlign w:val="center"/>
            <w:hideMark/>
          </w:tcPr>
          <w:p w14:paraId="772535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673,5</w:t>
            </w:r>
          </w:p>
        </w:tc>
        <w:tc>
          <w:tcPr>
            <w:tcW w:w="1276" w:type="dxa"/>
            <w:tcBorders>
              <w:top w:val="nil"/>
              <w:left w:val="nil"/>
              <w:bottom w:val="single" w:sz="4" w:space="0" w:color="000000"/>
              <w:right w:val="single" w:sz="4" w:space="0" w:color="000000"/>
            </w:tcBorders>
            <w:shd w:val="clear" w:color="auto" w:fill="auto"/>
            <w:noWrap/>
            <w:vAlign w:val="center"/>
            <w:hideMark/>
          </w:tcPr>
          <w:p w14:paraId="698BB5A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665,0</w:t>
            </w:r>
          </w:p>
        </w:tc>
        <w:tc>
          <w:tcPr>
            <w:tcW w:w="1275" w:type="dxa"/>
            <w:tcBorders>
              <w:top w:val="nil"/>
              <w:left w:val="nil"/>
              <w:bottom w:val="single" w:sz="4" w:space="0" w:color="000000"/>
              <w:right w:val="single" w:sz="4" w:space="0" w:color="000000"/>
            </w:tcBorders>
            <w:shd w:val="clear" w:color="auto" w:fill="auto"/>
            <w:noWrap/>
            <w:vAlign w:val="center"/>
            <w:hideMark/>
          </w:tcPr>
          <w:p w14:paraId="2FC4BCA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656,6</w:t>
            </w:r>
          </w:p>
        </w:tc>
      </w:tr>
      <w:tr w:rsidR="00996507" w:rsidRPr="00996507" w14:paraId="69BA163E"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7C04125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3415C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(на конец года)</w:t>
            </w:r>
          </w:p>
        </w:tc>
        <w:tc>
          <w:tcPr>
            <w:tcW w:w="1151" w:type="dxa"/>
            <w:tcBorders>
              <w:top w:val="nil"/>
              <w:left w:val="nil"/>
              <w:bottom w:val="single" w:sz="4" w:space="0" w:color="auto"/>
              <w:right w:val="single" w:sz="4" w:space="0" w:color="auto"/>
            </w:tcBorders>
            <w:shd w:val="clear" w:color="000000" w:fill="FFFFFF"/>
            <w:hideMark/>
          </w:tcPr>
          <w:p w14:paraId="3D88036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5F78E7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000000"/>
              <w:right w:val="single" w:sz="4" w:space="0" w:color="000000"/>
            </w:tcBorders>
            <w:shd w:val="clear" w:color="auto" w:fill="auto"/>
            <w:noWrap/>
            <w:vAlign w:val="center"/>
            <w:hideMark/>
          </w:tcPr>
          <w:p w14:paraId="252225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6 032,0</w:t>
            </w:r>
          </w:p>
        </w:tc>
        <w:tc>
          <w:tcPr>
            <w:tcW w:w="1275" w:type="dxa"/>
            <w:tcBorders>
              <w:top w:val="nil"/>
              <w:left w:val="nil"/>
              <w:bottom w:val="single" w:sz="4" w:space="0" w:color="000000"/>
              <w:right w:val="single" w:sz="4" w:space="0" w:color="000000"/>
            </w:tcBorders>
            <w:shd w:val="clear" w:color="auto" w:fill="auto"/>
            <w:noWrap/>
            <w:vAlign w:val="center"/>
            <w:hideMark/>
          </w:tcPr>
          <w:p w14:paraId="2A1311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6 538,0</w:t>
            </w:r>
          </w:p>
        </w:tc>
        <w:tc>
          <w:tcPr>
            <w:tcW w:w="1275" w:type="dxa"/>
            <w:tcBorders>
              <w:top w:val="nil"/>
              <w:left w:val="nil"/>
              <w:bottom w:val="single" w:sz="4" w:space="0" w:color="000000"/>
              <w:right w:val="single" w:sz="4" w:space="0" w:color="000000"/>
            </w:tcBorders>
            <w:shd w:val="clear" w:color="auto" w:fill="auto"/>
            <w:noWrap/>
            <w:vAlign w:val="center"/>
            <w:hideMark/>
          </w:tcPr>
          <w:p w14:paraId="3888F9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6 673,0</w:t>
            </w:r>
          </w:p>
        </w:tc>
        <w:tc>
          <w:tcPr>
            <w:tcW w:w="1277" w:type="dxa"/>
            <w:tcBorders>
              <w:top w:val="nil"/>
              <w:left w:val="nil"/>
              <w:bottom w:val="single" w:sz="4" w:space="0" w:color="000000"/>
              <w:right w:val="single" w:sz="4" w:space="0" w:color="000000"/>
            </w:tcBorders>
            <w:shd w:val="clear" w:color="auto" w:fill="auto"/>
            <w:noWrap/>
            <w:vAlign w:val="center"/>
            <w:hideMark/>
          </w:tcPr>
          <w:p w14:paraId="79EB85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6 706,0</w:t>
            </w:r>
          </w:p>
        </w:tc>
        <w:tc>
          <w:tcPr>
            <w:tcW w:w="1276" w:type="dxa"/>
            <w:tcBorders>
              <w:top w:val="nil"/>
              <w:left w:val="nil"/>
              <w:bottom w:val="single" w:sz="4" w:space="0" w:color="000000"/>
              <w:right w:val="single" w:sz="4" w:space="0" w:color="000000"/>
            </w:tcBorders>
            <w:shd w:val="clear" w:color="auto" w:fill="auto"/>
            <w:noWrap/>
            <w:vAlign w:val="center"/>
            <w:hideMark/>
          </w:tcPr>
          <w:p w14:paraId="5B63CB6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6 740,0</w:t>
            </w:r>
          </w:p>
        </w:tc>
        <w:tc>
          <w:tcPr>
            <w:tcW w:w="1275" w:type="dxa"/>
            <w:tcBorders>
              <w:top w:val="nil"/>
              <w:left w:val="nil"/>
              <w:bottom w:val="single" w:sz="4" w:space="0" w:color="000000"/>
              <w:right w:val="single" w:sz="4" w:space="0" w:color="000000"/>
            </w:tcBorders>
            <w:shd w:val="clear" w:color="auto" w:fill="auto"/>
            <w:noWrap/>
            <w:vAlign w:val="center"/>
            <w:hideMark/>
          </w:tcPr>
          <w:p w14:paraId="1E7E2E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6 774,0</w:t>
            </w:r>
          </w:p>
        </w:tc>
      </w:tr>
      <w:tr w:rsidR="00996507" w:rsidRPr="00996507" w14:paraId="1D2486B4"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2F4411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F71A67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постоянного населения</w:t>
            </w:r>
          </w:p>
        </w:tc>
        <w:tc>
          <w:tcPr>
            <w:tcW w:w="1151" w:type="dxa"/>
            <w:tcBorders>
              <w:top w:val="nil"/>
              <w:left w:val="nil"/>
              <w:bottom w:val="single" w:sz="4" w:space="0" w:color="auto"/>
              <w:right w:val="single" w:sz="4" w:space="0" w:color="auto"/>
            </w:tcBorders>
            <w:shd w:val="clear" w:color="000000" w:fill="FFFFFF"/>
            <w:hideMark/>
          </w:tcPr>
          <w:p w14:paraId="160AC8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6AA028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000000"/>
              <w:right w:val="single" w:sz="4" w:space="0" w:color="000000"/>
            </w:tcBorders>
            <w:shd w:val="clear" w:color="auto" w:fill="auto"/>
            <w:noWrap/>
            <w:vAlign w:val="center"/>
            <w:hideMark/>
          </w:tcPr>
          <w:p w14:paraId="3330B4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94 423</w:t>
            </w:r>
          </w:p>
        </w:tc>
        <w:tc>
          <w:tcPr>
            <w:tcW w:w="1275" w:type="dxa"/>
            <w:tcBorders>
              <w:top w:val="nil"/>
              <w:left w:val="nil"/>
              <w:bottom w:val="single" w:sz="4" w:space="0" w:color="000000"/>
              <w:right w:val="single" w:sz="4" w:space="0" w:color="000000"/>
            </w:tcBorders>
            <w:shd w:val="clear" w:color="auto" w:fill="auto"/>
            <w:noWrap/>
            <w:vAlign w:val="center"/>
            <w:hideMark/>
          </w:tcPr>
          <w:p w14:paraId="6E9938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96 145</w:t>
            </w:r>
          </w:p>
        </w:tc>
        <w:tc>
          <w:tcPr>
            <w:tcW w:w="1275" w:type="dxa"/>
            <w:tcBorders>
              <w:top w:val="nil"/>
              <w:left w:val="nil"/>
              <w:bottom w:val="single" w:sz="4" w:space="0" w:color="000000"/>
              <w:right w:val="single" w:sz="4" w:space="0" w:color="000000"/>
            </w:tcBorders>
            <w:shd w:val="clear" w:color="auto" w:fill="auto"/>
            <w:noWrap/>
            <w:vAlign w:val="center"/>
            <w:hideMark/>
          </w:tcPr>
          <w:p w14:paraId="0722B2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97 814</w:t>
            </w:r>
          </w:p>
        </w:tc>
        <w:tc>
          <w:tcPr>
            <w:tcW w:w="1277" w:type="dxa"/>
            <w:tcBorders>
              <w:top w:val="nil"/>
              <w:left w:val="nil"/>
              <w:bottom w:val="single" w:sz="4" w:space="0" w:color="000000"/>
              <w:right w:val="single" w:sz="4" w:space="0" w:color="000000"/>
            </w:tcBorders>
            <w:shd w:val="clear" w:color="auto" w:fill="auto"/>
            <w:noWrap/>
            <w:vAlign w:val="center"/>
            <w:hideMark/>
          </w:tcPr>
          <w:p w14:paraId="592CA4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99 576</w:t>
            </w:r>
          </w:p>
        </w:tc>
        <w:tc>
          <w:tcPr>
            <w:tcW w:w="1276" w:type="dxa"/>
            <w:tcBorders>
              <w:top w:val="nil"/>
              <w:left w:val="nil"/>
              <w:bottom w:val="single" w:sz="4" w:space="0" w:color="000000"/>
              <w:right w:val="single" w:sz="4" w:space="0" w:color="000000"/>
            </w:tcBorders>
            <w:shd w:val="clear" w:color="auto" w:fill="auto"/>
            <w:noWrap/>
            <w:vAlign w:val="center"/>
            <w:hideMark/>
          </w:tcPr>
          <w:p w14:paraId="20B2C1E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101 358</w:t>
            </w:r>
          </w:p>
        </w:tc>
        <w:tc>
          <w:tcPr>
            <w:tcW w:w="1275" w:type="dxa"/>
            <w:tcBorders>
              <w:top w:val="nil"/>
              <w:left w:val="nil"/>
              <w:bottom w:val="single" w:sz="4" w:space="0" w:color="000000"/>
              <w:right w:val="single" w:sz="4" w:space="0" w:color="000000"/>
            </w:tcBorders>
            <w:shd w:val="clear" w:color="auto" w:fill="auto"/>
            <w:noWrap/>
            <w:vAlign w:val="center"/>
            <w:hideMark/>
          </w:tcPr>
          <w:p w14:paraId="04C538E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103 172</w:t>
            </w:r>
          </w:p>
        </w:tc>
      </w:tr>
      <w:tr w:rsidR="00996507" w:rsidRPr="00996507" w14:paraId="3543AC0E"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1D50753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2AE9A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51" w:type="dxa"/>
            <w:tcBorders>
              <w:top w:val="nil"/>
              <w:left w:val="nil"/>
              <w:bottom w:val="single" w:sz="4" w:space="0" w:color="auto"/>
              <w:right w:val="single" w:sz="4" w:space="0" w:color="auto"/>
            </w:tcBorders>
            <w:shd w:val="clear" w:color="000000" w:fill="FFFFFF"/>
            <w:hideMark/>
          </w:tcPr>
          <w:p w14:paraId="6F7564B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5A4B95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000000"/>
              <w:right w:val="single" w:sz="4" w:space="0" w:color="000000"/>
            </w:tcBorders>
            <w:shd w:val="clear" w:color="auto" w:fill="auto"/>
            <w:noWrap/>
            <w:vAlign w:val="center"/>
            <w:hideMark/>
          </w:tcPr>
          <w:p w14:paraId="1B65F1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15,3</w:t>
            </w:r>
          </w:p>
        </w:tc>
        <w:tc>
          <w:tcPr>
            <w:tcW w:w="1275" w:type="dxa"/>
            <w:tcBorders>
              <w:top w:val="nil"/>
              <w:left w:val="nil"/>
              <w:bottom w:val="single" w:sz="4" w:space="0" w:color="000000"/>
              <w:right w:val="single" w:sz="4" w:space="0" w:color="000000"/>
            </w:tcBorders>
            <w:shd w:val="clear" w:color="auto" w:fill="auto"/>
            <w:noWrap/>
            <w:vAlign w:val="center"/>
            <w:hideMark/>
          </w:tcPr>
          <w:p w14:paraId="30FB1B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19,0</w:t>
            </w:r>
          </w:p>
        </w:tc>
        <w:tc>
          <w:tcPr>
            <w:tcW w:w="1275" w:type="dxa"/>
            <w:tcBorders>
              <w:top w:val="nil"/>
              <w:left w:val="nil"/>
              <w:bottom w:val="single" w:sz="4" w:space="0" w:color="000000"/>
              <w:right w:val="single" w:sz="4" w:space="0" w:color="000000"/>
            </w:tcBorders>
            <w:shd w:val="clear" w:color="auto" w:fill="auto"/>
            <w:noWrap/>
            <w:vAlign w:val="center"/>
            <w:hideMark/>
          </w:tcPr>
          <w:p w14:paraId="2C5E7E4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c>
          <w:tcPr>
            <w:tcW w:w="1277" w:type="dxa"/>
            <w:tcBorders>
              <w:top w:val="nil"/>
              <w:left w:val="nil"/>
              <w:bottom w:val="single" w:sz="4" w:space="0" w:color="000000"/>
              <w:right w:val="single" w:sz="4" w:space="0" w:color="000000"/>
            </w:tcBorders>
            <w:shd w:val="clear" w:color="auto" w:fill="auto"/>
            <w:noWrap/>
            <w:vAlign w:val="center"/>
            <w:hideMark/>
          </w:tcPr>
          <w:p w14:paraId="401FE8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c>
          <w:tcPr>
            <w:tcW w:w="1276" w:type="dxa"/>
            <w:tcBorders>
              <w:top w:val="nil"/>
              <w:left w:val="nil"/>
              <w:bottom w:val="single" w:sz="4" w:space="0" w:color="000000"/>
              <w:right w:val="single" w:sz="4" w:space="0" w:color="000000"/>
            </w:tcBorders>
            <w:shd w:val="clear" w:color="auto" w:fill="auto"/>
            <w:noWrap/>
            <w:vAlign w:val="center"/>
            <w:hideMark/>
          </w:tcPr>
          <w:p w14:paraId="232932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c>
          <w:tcPr>
            <w:tcW w:w="1275" w:type="dxa"/>
            <w:tcBorders>
              <w:top w:val="nil"/>
              <w:left w:val="nil"/>
              <w:bottom w:val="single" w:sz="4" w:space="0" w:color="000000"/>
              <w:right w:val="single" w:sz="4" w:space="0" w:color="000000"/>
            </w:tcBorders>
            <w:shd w:val="clear" w:color="auto" w:fill="auto"/>
            <w:noWrap/>
            <w:vAlign w:val="center"/>
            <w:hideMark/>
          </w:tcPr>
          <w:p w14:paraId="7E91AA6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r>
      <w:tr w:rsidR="00996507" w:rsidRPr="00996507" w14:paraId="07826EF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02C5F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14CA6E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малых и средних предприятий</w:t>
            </w:r>
          </w:p>
        </w:tc>
        <w:tc>
          <w:tcPr>
            <w:tcW w:w="1151" w:type="dxa"/>
            <w:tcBorders>
              <w:top w:val="nil"/>
              <w:left w:val="nil"/>
              <w:bottom w:val="single" w:sz="4" w:space="0" w:color="auto"/>
              <w:right w:val="single" w:sz="4" w:space="0" w:color="auto"/>
            </w:tcBorders>
            <w:shd w:val="clear" w:color="000000" w:fill="FFFFFF"/>
            <w:hideMark/>
          </w:tcPr>
          <w:p w14:paraId="34ACC0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271D20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000000"/>
              <w:right w:val="single" w:sz="4" w:space="0" w:color="000000"/>
            </w:tcBorders>
            <w:shd w:val="clear" w:color="auto" w:fill="auto"/>
            <w:noWrap/>
            <w:vAlign w:val="center"/>
            <w:hideMark/>
          </w:tcPr>
          <w:p w14:paraId="439374D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8 550,0</w:t>
            </w:r>
          </w:p>
        </w:tc>
        <w:tc>
          <w:tcPr>
            <w:tcW w:w="1275" w:type="dxa"/>
            <w:tcBorders>
              <w:top w:val="nil"/>
              <w:left w:val="nil"/>
              <w:bottom w:val="single" w:sz="4" w:space="0" w:color="000000"/>
              <w:right w:val="single" w:sz="4" w:space="0" w:color="000000"/>
            </w:tcBorders>
            <w:shd w:val="clear" w:color="auto" w:fill="auto"/>
            <w:noWrap/>
            <w:vAlign w:val="center"/>
            <w:hideMark/>
          </w:tcPr>
          <w:p w14:paraId="0AF73B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10 851,0</w:t>
            </w:r>
          </w:p>
        </w:tc>
        <w:tc>
          <w:tcPr>
            <w:tcW w:w="1275" w:type="dxa"/>
            <w:tcBorders>
              <w:top w:val="nil"/>
              <w:left w:val="nil"/>
              <w:bottom w:val="single" w:sz="4" w:space="0" w:color="000000"/>
              <w:right w:val="single" w:sz="4" w:space="0" w:color="000000"/>
            </w:tcBorders>
            <w:shd w:val="clear" w:color="auto" w:fill="auto"/>
            <w:noWrap/>
            <w:vAlign w:val="center"/>
            <w:hideMark/>
          </w:tcPr>
          <w:p w14:paraId="49A1F3E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c>
          <w:tcPr>
            <w:tcW w:w="1277" w:type="dxa"/>
            <w:tcBorders>
              <w:top w:val="nil"/>
              <w:left w:val="nil"/>
              <w:bottom w:val="single" w:sz="4" w:space="0" w:color="000000"/>
              <w:right w:val="single" w:sz="4" w:space="0" w:color="000000"/>
            </w:tcBorders>
            <w:shd w:val="clear" w:color="auto" w:fill="auto"/>
            <w:noWrap/>
            <w:vAlign w:val="center"/>
            <w:hideMark/>
          </w:tcPr>
          <w:p w14:paraId="651616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c>
          <w:tcPr>
            <w:tcW w:w="1276" w:type="dxa"/>
            <w:tcBorders>
              <w:top w:val="nil"/>
              <w:left w:val="nil"/>
              <w:bottom w:val="single" w:sz="4" w:space="0" w:color="000000"/>
              <w:right w:val="single" w:sz="4" w:space="0" w:color="000000"/>
            </w:tcBorders>
            <w:shd w:val="clear" w:color="auto" w:fill="auto"/>
            <w:noWrap/>
            <w:vAlign w:val="center"/>
            <w:hideMark/>
          </w:tcPr>
          <w:p w14:paraId="1B772B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c>
          <w:tcPr>
            <w:tcW w:w="1275" w:type="dxa"/>
            <w:tcBorders>
              <w:top w:val="nil"/>
              <w:left w:val="nil"/>
              <w:bottom w:val="single" w:sz="4" w:space="0" w:color="000000"/>
              <w:right w:val="single" w:sz="4" w:space="0" w:color="000000"/>
            </w:tcBorders>
            <w:shd w:val="clear" w:color="auto" w:fill="auto"/>
            <w:noWrap/>
            <w:vAlign w:val="center"/>
            <w:hideMark/>
          </w:tcPr>
          <w:p w14:paraId="45DE98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r>
      <w:tr w:rsidR="00996507" w:rsidRPr="00996507" w14:paraId="304FF6B0"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31E8C72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A2D55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всех предприятий и организаций</w:t>
            </w:r>
          </w:p>
        </w:tc>
        <w:tc>
          <w:tcPr>
            <w:tcW w:w="1151" w:type="dxa"/>
            <w:tcBorders>
              <w:top w:val="nil"/>
              <w:left w:val="nil"/>
              <w:bottom w:val="single" w:sz="4" w:space="0" w:color="auto"/>
              <w:right w:val="single" w:sz="4" w:space="0" w:color="auto"/>
            </w:tcBorders>
            <w:shd w:val="clear" w:color="000000" w:fill="FFFFFF"/>
            <w:hideMark/>
          </w:tcPr>
          <w:p w14:paraId="482D2F0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872F0A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000000"/>
              <w:right w:val="single" w:sz="4" w:space="0" w:color="000000"/>
            </w:tcBorders>
            <w:shd w:val="clear" w:color="auto" w:fill="auto"/>
            <w:noWrap/>
            <w:vAlign w:val="center"/>
            <w:hideMark/>
          </w:tcPr>
          <w:p w14:paraId="3C86CB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56 031,0</w:t>
            </w:r>
          </w:p>
        </w:tc>
        <w:tc>
          <w:tcPr>
            <w:tcW w:w="1275" w:type="dxa"/>
            <w:tcBorders>
              <w:top w:val="nil"/>
              <w:left w:val="nil"/>
              <w:bottom w:val="single" w:sz="4" w:space="0" w:color="000000"/>
              <w:right w:val="single" w:sz="4" w:space="0" w:color="000000"/>
            </w:tcBorders>
            <w:shd w:val="clear" w:color="auto" w:fill="auto"/>
            <w:noWrap/>
            <w:vAlign w:val="center"/>
            <w:hideMark/>
          </w:tcPr>
          <w:p w14:paraId="1A39B40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56 999,0</w:t>
            </w:r>
          </w:p>
        </w:tc>
        <w:tc>
          <w:tcPr>
            <w:tcW w:w="1275" w:type="dxa"/>
            <w:tcBorders>
              <w:top w:val="nil"/>
              <w:left w:val="nil"/>
              <w:bottom w:val="single" w:sz="4" w:space="0" w:color="000000"/>
              <w:right w:val="single" w:sz="4" w:space="0" w:color="000000"/>
            </w:tcBorders>
            <w:shd w:val="clear" w:color="auto" w:fill="auto"/>
            <w:noWrap/>
            <w:vAlign w:val="center"/>
            <w:hideMark/>
          </w:tcPr>
          <w:p w14:paraId="32BB87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c>
          <w:tcPr>
            <w:tcW w:w="1277" w:type="dxa"/>
            <w:tcBorders>
              <w:top w:val="nil"/>
              <w:left w:val="nil"/>
              <w:bottom w:val="single" w:sz="4" w:space="0" w:color="000000"/>
              <w:right w:val="single" w:sz="4" w:space="0" w:color="000000"/>
            </w:tcBorders>
            <w:shd w:val="clear" w:color="auto" w:fill="auto"/>
            <w:noWrap/>
            <w:vAlign w:val="center"/>
            <w:hideMark/>
          </w:tcPr>
          <w:p w14:paraId="5F4F936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c>
          <w:tcPr>
            <w:tcW w:w="1276" w:type="dxa"/>
            <w:tcBorders>
              <w:top w:val="nil"/>
              <w:left w:val="nil"/>
              <w:bottom w:val="single" w:sz="4" w:space="0" w:color="000000"/>
              <w:right w:val="single" w:sz="4" w:space="0" w:color="000000"/>
            </w:tcBorders>
            <w:shd w:val="clear" w:color="auto" w:fill="auto"/>
            <w:noWrap/>
            <w:vAlign w:val="center"/>
            <w:hideMark/>
          </w:tcPr>
          <w:p w14:paraId="0AD643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c>
          <w:tcPr>
            <w:tcW w:w="1275" w:type="dxa"/>
            <w:tcBorders>
              <w:top w:val="nil"/>
              <w:left w:val="nil"/>
              <w:bottom w:val="single" w:sz="4" w:space="0" w:color="000000"/>
              <w:right w:val="single" w:sz="4" w:space="0" w:color="000000"/>
            </w:tcBorders>
            <w:shd w:val="clear" w:color="auto" w:fill="auto"/>
            <w:noWrap/>
            <w:vAlign w:val="center"/>
            <w:hideMark/>
          </w:tcPr>
          <w:p w14:paraId="58FB00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r>
      <w:tr w:rsidR="00996507" w:rsidRPr="00996507" w14:paraId="080EB97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6B787E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9E51A6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Объем инвестиций в основной капитал (за исключением бюджетных средств) в расчете на 1 жителя</w:t>
            </w:r>
          </w:p>
        </w:tc>
        <w:tc>
          <w:tcPr>
            <w:tcW w:w="1151" w:type="dxa"/>
            <w:tcBorders>
              <w:top w:val="nil"/>
              <w:left w:val="nil"/>
              <w:bottom w:val="single" w:sz="4" w:space="0" w:color="auto"/>
              <w:right w:val="single" w:sz="4" w:space="0" w:color="auto"/>
            </w:tcBorders>
            <w:shd w:val="clear" w:color="000000" w:fill="FFFFFF"/>
            <w:hideMark/>
          </w:tcPr>
          <w:p w14:paraId="7531F24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18293F8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000000"/>
              <w:right w:val="single" w:sz="4" w:space="0" w:color="000000"/>
            </w:tcBorders>
            <w:shd w:val="clear" w:color="auto" w:fill="auto"/>
            <w:noWrap/>
            <w:vAlign w:val="center"/>
            <w:hideMark/>
          </w:tcPr>
          <w:p w14:paraId="0175EEF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183 556,0</w:t>
            </w:r>
          </w:p>
        </w:tc>
        <w:tc>
          <w:tcPr>
            <w:tcW w:w="1275" w:type="dxa"/>
            <w:tcBorders>
              <w:top w:val="nil"/>
              <w:left w:val="nil"/>
              <w:bottom w:val="single" w:sz="4" w:space="0" w:color="000000"/>
              <w:right w:val="single" w:sz="4" w:space="0" w:color="000000"/>
            </w:tcBorders>
            <w:shd w:val="clear" w:color="auto" w:fill="auto"/>
            <w:noWrap/>
            <w:vAlign w:val="center"/>
            <w:hideMark/>
          </w:tcPr>
          <w:p w14:paraId="245C3412" w14:textId="01A4278A" w:rsidR="00996507" w:rsidRPr="00996507" w:rsidRDefault="009824C1" w:rsidP="009824C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1239230,0</w:t>
            </w:r>
          </w:p>
        </w:tc>
        <w:tc>
          <w:tcPr>
            <w:tcW w:w="1275" w:type="dxa"/>
            <w:tcBorders>
              <w:top w:val="nil"/>
              <w:left w:val="nil"/>
              <w:bottom w:val="single" w:sz="4" w:space="0" w:color="000000"/>
              <w:right w:val="single" w:sz="4" w:space="0" w:color="000000"/>
            </w:tcBorders>
            <w:shd w:val="clear" w:color="auto" w:fill="auto"/>
            <w:noWrap/>
            <w:vAlign w:val="center"/>
            <w:hideMark/>
          </w:tcPr>
          <w:p w14:paraId="004669F1" w14:textId="5050D4C3" w:rsidR="00996507" w:rsidRPr="00996507" w:rsidRDefault="009824C1" w:rsidP="009824C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126270,0</w:t>
            </w:r>
          </w:p>
        </w:tc>
        <w:tc>
          <w:tcPr>
            <w:tcW w:w="1277" w:type="dxa"/>
            <w:tcBorders>
              <w:top w:val="nil"/>
              <w:left w:val="nil"/>
              <w:bottom w:val="single" w:sz="4" w:space="0" w:color="000000"/>
              <w:right w:val="single" w:sz="4" w:space="0" w:color="000000"/>
            </w:tcBorders>
            <w:shd w:val="clear" w:color="auto" w:fill="auto"/>
            <w:noWrap/>
            <w:vAlign w:val="center"/>
            <w:hideMark/>
          </w:tcPr>
          <w:p w14:paraId="285AE18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129 088,0</w:t>
            </w:r>
          </w:p>
        </w:tc>
        <w:tc>
          <w:tcPr>
            <w:tcW w:w="1276" w:type="dxa"/>
            <w:tcBorders>
              <w:top w:val="nil"/>
              <w:left w:val="nil"/>
              <w:bottom w:val="single" w:sz="4" w:space="0" w:color="000000"/>
              <w:right w:val="single" w:sz="4" w:space="0" w:color="000000"/>
            </w:tcBorders>
            <w:shd w:val="clear" w:color="auto" w:fill="auto"/>
            <w:noWrap/>
            <w:vAlign w:val="center"/>
            <w:hideMark/>
          </w:tcPr>
          <w:p w14:paraId="418B0F9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131 502,0</w:t>
            </w:r>
          </w:p>
        </w:tc>
        <w:tc>
          <w:tcPr>
            <w:tcW w:w="1275" w:type="dxa"/>
            <w:tcBorders>
              <w:top w:val="nil"/>
              <w:left w:val="nil"/>
              <w:bottom w:val="single" w:sz="4" w:space="0" w:color="000000"/>
              <w:right w:val="single" w:sz="4" w:space="0" w:color="000000"/>
            </w:tcBorders>
            <w:shd w:val="clear" w:color="auto" w:fill="auto"/>
            <w:noWrap/>
            <w:vAlign w:val="center"/>
            <w:hideMark/>
          </w:tcPr>
          <w:p w14:paraId="0EE1D0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131 502,0</w:t>
            </w:r>
          </w:p>
        </w:tc>
      </w:tr>
      <w:tr w:rsidR="00996507" w:rsidRPr="00996507" w14:paraId="2E457F29"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7EEBE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D1FBE7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25DA23A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C95E03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000000"/>
              <w:right w:val="single" w:sz="4" w:space="0" w:color="000000"/>
            </w:tcBorders>
            <w:shd w:val="clear" w:color="000000" w:fill="C0C0C0"/>
            <w:noWrap/>
            <w:vAlign w:val="center"/>
            <w:hideMark/>
          </w:tcPr>
          <w:p w14:paraId="5CC824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93,52</w:t>
            </w:r>
          </w:p>
        </w:tc>
        <w:tc>
          <w:tcPr>
            <w:tcW w:w="1275" w:type="dxa"/>
            <w:tcBorders>
              <w:top w:val="nil"/>
              <w:left w:val="nil"/>
              <w:bottom w:val="single" w:sz="4" w:space="0" w:color="000000"/>
              <w:right w:val="single" w:sz="4" w:space="0" w:color="000000"/>
            </w:tcBorders>
            <w:shd w:val="clear" w:color="000000" w:fill="C0C0C0"/>
            <w:noWrap/>
            <w:vAlign w:val="center"/>
            <w:hideMark/>
          </w:tcPr>
          <w:p w14:paraId="0522BB6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93,52</w:t>
            </w:r>
          </w:p>
        </w:tc>
        <w:tc>
          <w:tcPr>
            <w:tcW w:w="1275" w:type="dxa"/>
            <w:tcBorders>
              <w:top w:val="nil"/>
              <w:left w:val="nil"/>
              <w:bottom w:val="single" w:sz="4" w:space="0" w:color="000000"/>
              <w:right w:val="single" w:sz="4" w:space="0" w:color="000000"/>
            </w:tcBorders>
            <w:shd w:val="clear" w:color="000000" w:fill="C0C0C0"/>
            <w:noWrap/>
            <w:vAlign w:val="center"/>
            <w:hideMark/>
          </w:tcPr>
          <w:p w14:paraId="207B712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94,16</w:t>
            </w:r>
          </w:p>
        </w:tc>
        <w:tc>
          <w:tcPr>
            <w:tcW w:w="1277" w:type="dxa"/>
            <w:tcBorders>
              <w:top w:val="nil"/>
              <w:left w:val="nil"/>
              <w:bottom w:val="single" w:sz="4" w:space="0" w:color="000000"/>
              <w:right w:val="single" w:sz="4" w:space="0" w:color="000000"/>
            </w:tcBorders>
            <w:shd w:val="clear" w:color="000000" w:fill="C0C0C0"/>
            <w:noWrap/>
            <w:vAlign w:val="center"/>
            <w:hideMark/>
          </w:tcPr>
          <w:p w14:paraId="3AB185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94,30</w:t>
            </w:r>
          </w:p>
        </w:tc>
        <w:tc>
          <w:tcPr>
            <w:tcW w:w="1276" w:type="dxa"/>
            <w:tcBorders>
              <w:top w:val="nil"/>
              <w:left w:val="nil"/>
              <w:bottom w:val="single" w:sz="4" w:space="0" w:color="000000"/>
              <w:right w:val="single" w:sz="4" w:space="0" w:color="000000"/>
            </w:tcBorders>
            <w:shd w:val="clear" w:color="000000" w:fill="C0C0C0"/>
            <w:noWrap/>
            <w:vAlign w:val="center"/>
            <w:hideMark/>
          </w:tcPr>
          <w:p w14:paraId="47526B3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94,40</w:t>
            </w:r>
          </w:p>
        </w:tc>
        <w:tc>
          <w:tcPr>
            <w:tcW w:w="1275" w:type="dxa"/>
            <w:tcBorders>
              <w:top w:val="nil"/>
              <w:left w:val="nil"/>
              <w:bottom w:val="single" w:sz="4" w:space="0" w:color="000000"/>
              <w:right w:val="single" w:sz="4" w:space="0" w:color="000000"/>
            </w:tcBorders>
            <w:shd w:val="clear" w:color="000000" w:fill="C0C0C0"/>
            <w:noWrap/>
            <w:vAlign w:val="center"/>
            <w:hideMark/>
          </w:tcPr>
          <w:p w14:paraId="3FE77A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94,50</w:t>
            </w:r>
          </w:p>
        </w:tc>
      </w:tr>
      <w:tr w:rsidR="00996507" w:rsidRPr="00996507" w14:paraId="6C821520" w14:textId="77777777" w:rsidTr="00996507">
        <w:trPr>
          <w:trHeight w:val="570"/>
        </w:trPr>
        <w:tc>
          <w:tcPr>
            <w:tcW w:w="1701" w:type="dxa"/>
            <w:vMerge/>
            <w:tcBorders>
              <w:top w:val="nil"/>
              <w:left w:val="single" w:sz="4" w:space="0" w:color="auto"/>
              <w:bottom w:val="single" w:sz="4" w:space="0" w:color="auto"/>
              <w:right w:val="single" w:sz="4" w:space="0" w:color="auto"/>
            </w:tcBorders>
            <w:vAlign w:val="center"/>
            <w:hideMark/>
          </w:tcPr>
          <w:p w14:paraId="3B2C17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595CC4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являющихся объектами налогообложения земельным налогом</w:t>
            </w:r>
          </w:p>
        </w:tc>
        <w:tc>
          <w:tcPr>
            <w:tcW w:w="1151" w:type="dxa"/>
            <w:tcBorders>
              <w:top w:val="nil"/>
              <w:left w:val="nil"/>
              <w:bottom w:val="single" w:sz="4" w:space="0" w:color="auto"/>
              <w:right w:val="single" w:sz="4" w:space="0" w:color="auto"/>
            </w:tcBorders>
            <w:shd w:val="clear" w:color="000000" w:fill="FFFFFF"/>
            <w:hideMark/>
          </w:tcPr>
          <w:p w14:paraId="7ECB682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5C66C91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4.1</w:t>
            </w:r>
          </w:p>
        </w:tc>
        <w:tc>
          <w:tcPr>
            <w:tcW w:w="1276" w:type="dxa"/>
            <w:tcBorders>
              <w:top w:val="nil"/>
              <w:left w:val="nil"/>
              <w:bottom w:val="single" w:sz="4" w:space="0" w:color="000000"/>
              <w:right w:val="single" w:sz="4" w:space="0" w:color="000000"/>
            </w:tcBorders>
            <w:shd w:val="clear" w:color="auto" w:fill="auto"/>
            <w:noWrap/>
            <w:vAlign w:val="center"/>
            <w:hideMark/>
          </w:tcPr>
          <w:p w14:paraId="6E3DC1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3 203,6</w:t>
            </w:r>
          </w:p>
        </w:tc>
        <w:tc>
          <w:tcPr>
            <w:tcW w:w="1275" w:type="dxa"/>
            <w:tcBorders>
              <w:top w:val="nil"/>
              <w:left w:val="nil"/>
              <w:bottom w:val="single" w:sz="4" w:space="0" w:color="000000"/>
              <w:right w:val="single" w:sz="4" w:space="0" w:color="000000"/>
            </w:tcBorders>
            <w:shd w:val="clear" w:color="auto" w:fill="auto"/>
            <w:noWrap/>
            <w:vAlign w:val="center"/>
            <w:hideMark/>
          </w:tcPr>
          <w:p w14:paraId="523E3A9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3 203,6</w:t>
            </w:r>
          </w:p>
        </w:tc>
        <w:tc>
          <w:tcPr>
            <w:tcW w:w="1275" w:type="dxa"/>
            <w:tcBorders>
              <w:top w:val="nil"/>
              <w:left w:val="nil"/>
              <w:bottom w:val="single" w:sz="4" w:space="0" w:color="000000"/>
              <w:right w:val="single" w:sz="4" w:space="0" w:color="000000"/>
            </w:tcBorders>
            <w:shd w:val="clear" w:color="auto" w:fill="auto"/>
            <w:noWrap/>
            <w:vAlign w:val="center"/>
            <w:hideMark/>
          </w:tcPr>
          <w:p w14:paraId="385A7E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3 225,6</w:t>
            </w:r>
          </w:p>
        </w:tc>
        <w:tc>
          <w:tcPr>
            <w:tcW w:w="1277" w:type="dxa"/>
            <w:tcBorders>
              <w:top w:val="nil"/>
              <w:left w:val="nil"/>
              <w:bottom w:val="single" w:sz="4" w:space="0" w:color="000000"/>
              <w:right w:val="single" w:sz="4" w:space="0" w:color="000000"/>
            </w:tcBorders>
            <w:shd w:val="clear" w:color="auto" w:fill="auto"/>
            <w:noWrap/>
            <w:vAlign w:val="center"/>
            <w:hideMark/>
          </w:tcPr>
          <w:p w14:paraId="02C372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3 230,3</w:t>
            </w:r>
          </w:p>
        </w:tc>
        <w:tc>
          <w:tcPr>
            <w:tcW w:w="1276" w:type="dxa"/>
            <w:tcBorders>
              <w:top w:val="nil"/>
              <w:left w:val="nil"/>
              <w:bottom w:val="single" w:sz="4" w:space="0" w:color="000000"/>
              <w:right w:val="single" w:sz="4" w:space="0" w:color="000000"/>
            </w:tcBorders>
            <w:shd w:val="clear" w:color="auto" w:fill="auto"/>
            <w:noWrap/>
            <w:vAlign w:val="center"/>
            <w:hideMark/>
          </w:tcPr>
          <w:p w14:paraId="1EFE52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3 233,8</w:t>
            </w:r>
          </w:p>
        </w:tc>
        <w:tc>
          <w:tcPr>
            <w:tcW w:w="1275" w:type="dxa"/>
            <w:tcBorders>
              <w:top w:val="nil"/>
              <w:left w:val="nil"/>
              <w:bottom w:val="single" w:sz="4" w:space="0" w:color="000000"/>
              <w:right w:val="single" w:sz="4" w:space="0" w:color="000000"/>
            </w:tcBorders>
            <w:shd w:val="clear" w:color="auto" w:fill="auto"/>
            <w:noWrap/>
            <w:vAlign w:val="center"/>
            <w:hideMark/>
          </w:tcPr>
          <w:p w14:paraId="1DB965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3 237,2</w:t>
            </w:r>
          </w:p>
        </w:tc>
      </w:tr>
      <w:tr w:rsidR="00996507" w:rsidRPr="00996507" w14:paraId="0CE435FF"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55714F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6FC45B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1151" w:type="dxa"/>
            <w:tcBorders>
              <w:top w:val="nil"/>
              <w:left w:val="nil"/>
              <w:bottom w:val="single" w:sz="4" w:space="0" w:color="auto"/>
              <w:right w:val="single" w:sz="4" w:space="0" w:color="auto"/>
            </w:tcBorders>
            <w:shd w:val="clear" w:color="000000" w:fill="FFFFFF"/>
            <w:hideMark/>
          </w:tcPr>
          <w:p w14:paraId="470B6A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BF8F5B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4.2</w:t>
            </w:r>
          </w:p>
        </w:tc>
        <w:tc>
          <w:tcPr>
            <w:tcW w:w="1276" w:type="dxa"/>
            <w:tcBorders>
              <w:top w:val="nil"/>
              <w:left w:val="nil"/>
              <w:bottom w:val="single" w:sz="4" w:space="0" w:color="000000"/>
              <w:right w:val="single" w:sz="4" w:space="0" w:color="000000"/>
            </w:tcBorders>
            <w:shd w:val="clear" w:color="auto" w:fill="auto"/>
            <w:noWrap/>
            <w:vAlign w:val="center"/>
            <w:hideMark/>
          </w:tcPr>
          <w:p w14:paraId="38F84C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5" w:type="dxa"/>
            <w:tcBorders>
              <w:top w:val="nil"/>
              <w:left w:val="nil"/>
              <w:bottom w:val="single" w:sz="4" w:space="0" w:color="000000"/>
              <w:right w:val="single" w:sz="4" w:space="0" w:color="000000"/>
            </w:tcBorders>
            <w:shd w:val="clear" w:color="auto" w:fill="auto"/>
            <w:noWrap/>
            <w:vAlign w:val="center"/>
            <w:hideMark/>
          </w:tcPr>
          <w:p w14:paraId="289F43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5" w:type="dxa"/>
            <w:tcBorders>
              <w:top w:val="nil"/>
              <w:left w:val="nil"/>
              <w:bottom w:val="single" w:sz="4" w:space="0" w:color="000000"/>
              <w:right w:val="single" w:sz="4" w:space="0" w:color="000000"/>
            </w:tcBorders>
            <w:shd w:val="clear" w:color="auto" w:fill="auto"/>
            <w:noWrap/>
            <w:vAlign w:val="center"/>
            <w:hideMark/>
          </w:tcPr>
          <w:p w14:paraId="00ED6F0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7" w:type="dxa"/>
            <w:tcBorders>
              <w:top w:val="nil"/>
              <w:left w:val="nil"/>
              <w:bottom w:val="single" w:sz="4" w:space="0" w:color="000000"/>
              <w:right w:val="single" w:sz="4" w:space="0" w:color="000000"/>
            </w:tcBorders>
            <w:shd w:val="clear" w:color="auto" w:fill="auto"/>
            <w:noWrap/>
            <w:vAlign w:val="center"/>
            <w:hideMark/>
          </w:tcPr>
          <w:p w14:paraId="2FC8234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6" w:type="dxa"/>
            <w:tcBorders>
              <w:top w:val="nil"/>
              <w:left w:val="nil"/>
              <w:bottom w:val="single" w:sz="4" w:space="0" w:color="000000"/>
              <w:right w:val="single" w:sz="4" w:space="0" w:color="000000"/>
            </w:tcBorders>
            <w:shd w:val="clear" w:color="auto" w:fill="auto"/>
            <w:noWrap/>
            <w:vAlign w:val="center"/>
            <w:hideMark/>
          </w:tcPr>
          <w:p w14:paraId="2BFD16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5" w:type="dxa"/>
            <w:tcBorders>
              <w:top w:val="nil"/>
              <w:left w:val="nil"/>
              <w:bottom w:val="single" w:sz="4" w:space="0" w:color="000000"/>
              <w:right w:val="single" w:sz="4" w:space="0" w:color="000000"/>
            </w:tcBorders>
            <w:shd w:val="clear" w:color="auto" w:fill="auto"/>
            <w:noWrap/>
            <w:vAlign w:val="center"/>
            <w:hideMark/>
          </w:tcPr>
          <w:p w14:paraId="274E96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r>
      <w:tr w:rsidR="00996507" w:rsidRPr="00996507" w14:paraId="77AF30EB"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9F83A3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2DDFF2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прибыльных сельскохозяйственных организаций в общем их числе</w:t>
            </w:r>
          </w:p>
        </w:tc>
        <w:tc>
          <w:tcPr>
            <w:tcW w:w="1151" w:type="dxa"/>
            <w:tcBorders>
              <w:top w:val="nil"/>
              <w:left w:val="nil"/>
              <w:bottom w:val="single" w:sz="4" w:space="0" w:color="auto"/>
              <w:right w:val="single" w:sz="4" w:space="0" w:color="auto"/>
            </w:tcBorders>
            <w:shd w:val="clear" w:color="000000" w:fill="FFFFFF"/>
            <w:hideMark/>
          </w:tcPr>
          <w:p w14:paraId="099228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72CDC0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000000"/>
              <w:right w:val="single" w:sz="4" w:space="0" w:color="000000"/>
            </w:tcBorders>
            <w:shd w:val="clear" w:color="000000" w:fill="C0C0C0"/>
            <w:noWrap/>
            <w:vAlign w:val="center"/>
            <w:hideMark/>
          </w:tcPr>
          <w:p w14:paraId="1F01B1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EF8D48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AFE7D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20137A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65862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7B577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03ED3718"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16F4A70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2B964F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прибыльных единиц сельскохозяйственных организаций</w:t>
            </w:r>
          </w:p>
        </w:tc>
        <w:tc>
          <w:tcPr>
            <w:tcW w:w="1151" w:type="dxa"/>
            <w:tcBorders>
              <w:top w:val="nil"/>
              <w:left w:val="nil"/>
              <w:bottom w:val="single" w:sz="4" w:space="0" w:color="auto"/>
              <w:right w:val="single" w:sz="4" w:space="0" w:color="auto"/>
            </w:tcBorders>
            <w:shd w:val="clear" w:color="000000" w:fill="FFFFFF"/>
            <w:hideMark/>
          </w:tcPr>
          <w:p w14:paraId="5D63C1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56F2280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5.1</w:t>
            </w:r>
          </w:p>
        </w:tc>
        <w:tc>
          <w:tcPr>
            <w:tcW w:w="1276" w:type="dxa"/>
            <w:tcBorders>
              <w:top w:val="nil"/>
              <w:left w:val="nil"/>
              <w:bottom w:val="single" w:sz="4" w:space="0" w:color="000000"/>
              <w:right w:val="single" w:sz="4" w:space="0" w:color="000000"/>
            </w:tcBorders>
            <w:shd w:val="clear" w:color="auto" w:fill="auto"/>
            <w:noWrap/>
            <w:vAlign w:val="center"/>
            <w:hideMark/>
          </w:tcPr>
          <w:p w14:paraId="22F75F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70937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7AC94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2CA8F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2FDCE74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8A1D8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49EB5D36" w14:textId="77777777" w:rsidTr="00996507">
        <w:trPr>
          <w:trHeight w:val="345"/>
        </w:trPr>
        <w:tc>
          <w:tcPr>
            <w:tcW w:w="1701" w:type="dxa"/>
            <w:vMerge/>
            <w:tcBorders>
              <w:top w:val="nil"/>
              <w:left w:val="single" w:sz="4" w:space="0" w:color="auto"/>
              <w:bottom w:val="single" w:sz="4" w:space="0" w:color="auto"/>
              <w:right w:val="single" w:sz="4" w:space="0" w:color="auto"/>
            </w:tcBorders>
            <w:vAlign w:val="center"/>
            <w:hideMark/>
          </w:tcPr>
          <w:p w14:paraId="3E6743A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A9C00E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сельскохозяйственных организаций</w:t>
            </w:r>
          </w:p>
        </w:tc>
        <w:tc>
          <w:tcPr>
            <w:tcW w:w="1151" w:type="dxa"/>
            <w:tcBorders>
              <w:top w:val="nil"/>
              <w:left w:val="nil"/>
              <w:bottom w:val="single" w:sz="4" w:space="0" w:color="auto"/>
              <w:right w:val="single" w:sz="4" w:space="0" w:color="auto"/>
            </w:tcBorders>
            <w:shd w:val="clear" w:color="000000" w:fill="FFFFFF"/>
            <w:hideMark/>
          </w:tcPr>
          <w:p w14:paraId="6DDBEC4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903F6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5.2</w:t>
            </w:r>
          </w:p>
        </w:tc>
        <w:tc>
          <w:tcPr>
            <w:tcW w:w="1276" w:type="dxa"/>
            <w:tcBorders>
              <w:top w:val="nil"/>
              <w:left w:val="nil"/>
              <w:bottom w:val="single" w:sz="4" w:space="0" w:color="000000"/>
              <w:right w:val="single" w:sz="4" w:space="0" w:color="000000"/>
            </w:tcBorders>
            <w:shd w:val="clear" w:color="auto" w:fill="auto"/>
            <w:noWrap/>
            <w:vAlign w:val="center"/>
            <w:hideMark/>
          </w:tcPr>
          <w:p w14:paraId="180302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67A2D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832BE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DCD03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2D0561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28380A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0F0522E"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6563B29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CC719C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51" w:type="dxa"/>
            <w:tcBorders>
              <w:top w:val="nil"/>
              <w:left w:val="nil"/>
              <w:bottom w:val="single" w:sz="4" w:space="0" w:color="auto"/>
              <w:right w:val="single" w:sz="4" w:space="0" w:color="auto"/>
            </w:tcBorders>
            <w:shd w:val="clear" w:color="000000" w:fill="FFFFFF"/>
            <w:hideMark/>
          </w:tcPr>
          <w:p w14:paraId="3D33E53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AED629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000000"/>
              <w:right w:val="single" w:sz="4" w:space="0" w:color="000000"/>
            </w:tcBorders>
            <w:shd w:val="clear" w:color="000000" w:fill="C0C0C0"/>
            <w:noWrap/>
            <w:vAlign w:val="center"/>
            <w:hideMark/>
          </w:tcPr>
          <w:p w14:paraId="4FEC45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6320E2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9557D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1FBAA7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56A87F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925F9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2AD786C6"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7E8D8AF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71856C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Протяженность автомобильных дорог общего пользования местного значения, не отвечающих нормативным требованиям</w:t>
            </w:r>
          </w:p>
        </w:tc>
        <w:tc>
          <w:tcPr>
            <w:tcW w:w="1151" w:type="dxa"/>
            <w:tcBorders>
              <w:top w:val="nil"/>
              <w:left w:val="nil"/>
              <w:bottom w:val="single" w:sz="4" w:space="0" w:color="auto"/>
              <w:right w:val="single" w:sz="4" w:space="0" w:color="auto"/>
            </w:tcBorders>
            <w:shd w:val="clear" w:color="000000" w:fill="FFFFFF"/>
            <w:hideMark/>
          </w:tcPr>
          <w:p w14:paraId="1BC5191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Километр</w:t>
            </w:r>
          </w:p>
        </w:tc>
        <w:tc>
          <w:tcPr>
            <w:tcW w:w="992" w:type="dxa"/>
            <w:tcBorders>
              <w:top w:val="nil"/>
              <w:left w:val="nil"/>
              <w:bottom w:val="single" w:sz="4" w:space="0" w:color="auto"/>
              <w:right w:val="single" w:sz="4" w:space="0" w:color="auto"/>
            </w:tcBorders>
            <w:shd w:val="clear" w:color="000000" w:fill="FFFFFF"/>
            <w:hideMark/>
          </w:tcPr>
          <w:p w14:paraId="736014D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6.1</w:t>
            </w:r>
          </w:p>
        </w:tc>
        <w:tc>
          <w:tcPr>
            <w:tcW w:w="1276" w:type="dxa"/>
            <w:tcBorders>
              <w:top w:val="nil"/>
              <w:left w:val="nil"/>
              <w:bottom w:val="single" w:sz="4" w:space="0" w:color="000000"/>
              <w:right w:val="single" w:sz="4" w:space="0" w:color="000000"/>
            </w:tcBorders>
            <w:shd w:val="clear" w:color="auto" w:fill="auto"/>
            <w:noWrap/>
            <w:vAlign w:val="center"/>
            <w:hideMark/>
          </w:tcPr>
          <w:p w14:paraId="480C70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04948A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3673D2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146BEB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0B32A6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313720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41C27369"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95A210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1B23E9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Протяженность автомобильных дорог общего пользования местного значения</w:t>
            </w:r>
          </w:p>
        </w:tc>
        <w:tc>
          <w:tcPr>
            <w:tcW w:w="1151" w:type="dxa"/>
            <w:tcBorders>
              <w:top w:val="nil"/>
              <w:left w:val="nil"/>
              <w:bottom w:val="single" w:sz="4" w:space="0" w:color="auto"/>
              <w:right w:val="single" w:sz="4" w:space="0" w:color="auto"/>
            </w:tcBorders>
            <w:shd w:val="clear" w:color="000000" w:fill="FFFFFF"/>
            <w:hideMark/>
          </w:tcPr>
          <w:p w14:paraId="2E173AE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Километр</w:t>
            </w:r>
          </w:p>
        </w:tc>
        <w:tc>
          <w:tcPr>
            <w:tcW w:w="992" w:type="dxa"/>
            <w:tcBorders>
              <w:top w:val="nil"/>
              <w:left w:val="nil"/>
              <w:bottom w:val="single" w:sz="4" w:space="0" w:color="auto"/>
              <w:right w:val="single" w:sz="4" w:space="0" w:color="auto"/>
            </w:tcBorders>
            <w:shd w:val="clear" w:color="000000" w:fill="FFFFFF"/>
            <w:hideMark/>
          </w:tcPr>
          <w:p w14:paraId="4C3AD3C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6.2</w:t>
            </w:r>
          </w:p>
        </w:tc>
        <w:tc>
          <w:tcPr>
            <w:tcW w:w="1276" w:type="dxa"/>
            <w:tcBorders>
              <w:top w:val="nil"/>
              <w:left w:val="nil"/>
              <w:bottom w:val="single" w:sz="4" w:space="0" w:color="000000"/>
              <w:right w:val="single" w:sz="4" w:space="0" w:color="000000"/>
            </w:tcBorders>
            <w:shd w:val="clear" w:color="auto" w:fill="auto"/>
            <w:noWrap/>
            <w:vAlign w:val="center"/>
            <w:hideMark/>
          </w:tcPr>
          <w:p w14:paraId="07DA9A4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85DB0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151,6</w:t>
            </w:r>
          </w:p>
        </w:tc>
        <w:tc>
          <w:tcPr>
            <w:tcW w:w="1275" w:type="dxa"/>
            <w:tcBorders>
              <w:top w:val="nil"/>
              <w:left w:val="nil"/>
              <w:bottom w:val="single" w:sz="4" w:space="0" w:color="000000"/>
              <w:right w:val="single" w:sz="4" w:space="0" w:color="000000"/>
            </w:tcBorders>
            <w:shd w:val="clear" w:color="auto" w:fill="auto"/>
            <w:noWrap/>
            <w:vAlign w:val="center"/>
            <w:hideMark/>
          </w:tcPr>
          <w:p w14:paraId="6D387C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162,2</w:t>
            </w:r>
          </w:p>
        </w:tc>
        <w:tc>
          <w:tcPr>
            <w:tcW w:w="1277" w:type="dxa"/>
            <w:tcBorders>
              <w:top w:val="nil"/>
              <w:left w:val="nil"/>
              <w:bottom w:val="single" w:sz="4" w:space="0" w:color="000000"/>
              <w:right w:val="single" w:sz="4" w:space="0" w:color="000000"/>
            </w:tcBorders>
            <w:shd w:val="clear" w:color="auto" w:fill="auto"/>
            <w:noWrap/>
            <w:vAlign w:val="center"/>
            <w:hideMark/>
          </w:tcPr>
          <w:p w14:paraId="2B0587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171,0</w:t>
            </w:r>
          </w:p>
        </w:tc>
        <w:tc>
          <w:tcPr>
            <w:tcW w:w="1276" w:type="dxa"/>
            <w:tcBorders>
              <w:top w:val="nil"/>
              <w:left w:val="nil"/>
              <w:bottom w:val="single" w:sz="4" w:space="0" w:color="000000"/>
              <w:right w:val="single" w:sz="4" w:space="0" w:color="000000"/>
            </w:tcBorders>
            <w:shd w:val="clear" w:color="auto" w:fill="auto"/>
            <w:noWrap/>
            <w:vAlign w:val="center"/>
            <w:hideMark/>
          </w:tcPr>
          <w:p w14:paraId="0E1A68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179,0</w:t>
            </w:r>
          </w:p>
        </w:tc>
        <w:tc>
          <w:tcPr>
            <w:tcW w:w="1275" w:type="dxa"/>
            <w:tcBorders>
              <w:top w:val="nil"/>
              <w:left w:val="nil"/>
              <w:bottom w:val="single" w:sz="4" w:space="0" w:color="000000"/>
              <w:right w:val="single" w:sz="4" w:space="0" w:color="000000"/>
            </w:tcBorders>
            <w:shd w:val="clear" w:color="auto" w:fill="auto"/>
            <w:noWrap/>
            <w:vAlign w:val="center"/>
            <w:hideMark/>
          </w:tcPr>
          <w:p w14:paraId="261D01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182,0</w:t>
            </w:r>
          </w:p>
        </w:tc>
      </w:tr>
      <w:tr w:rsidR="00996507" w:rsidRPr="00996507" w14:paraId="14F169F0" w14:textId="77777777" w:rsidTr="00996507">
        <w:trPr>
          <w:trHeight w:val="1785"/>
        </w:trPr>
        <w:tc>
          <w:tcPr>
            <w:tcW w:w="1701" w:type="dxa"/>
            <w:vMerge/>
            <w:tcBorders>
              <w:top w:val="nil"/>
              <w:left w:val="single" w:sz="4" w:space="0" w:color="auto"/>
              <w:bottom w:val="single" w:sz="4" w:space="0" w:color="auto"/>
              <w:right w:val="single" w:sz="4" w:space="0" w:color="auto"/>
            </w:tcBorders>
            <w:vAlign w:val="center"/>
            <w:hideMark/>
          </w:tcPr>
          <w:p w14:paraId="5BD2641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5714E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74CAE65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6F3AFC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000000"/>
              <w:right w:val="single" w:sz="4" w:space="0" w:color="000000"/>
            </w:tcBorders>
            <w:shd w:val="clear" w:color="000000" w:fill="C0C0C0"/>
            <w:noWrap/>
            <w:vAlign w:val="center"/>
            <w:hideMark/>
          </w:tcPr>
          <w:p w14:paraId="6DAB888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8A2CE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8D095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05010DF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1481FD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9D67FC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E78EAB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0C79D1D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873DAA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4F991A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F8E2F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7.1</w:t>
            </w:r>
          </w:p>
        </w:tc>
        <w:tc>
          <w:tcPr>
            <w:tcW w:w="1276" w:type="dxa"/>
            <w:tcBorders>
              <w:top w:val="nil"/>
              <w:left w:val="nil"/>
              <w:bottom w:val="single" w:sz="4" w:space="0" w:color="000000"/>
              <w:right w:val="single" w:sz="4" w:space="0" w:color="000000"/>
            </w:tcBorders>
            <w:shd w:val="clear" w:color="auto" w:fill="auto"/>
            <w:noWrap/>
            <w:vAlign w:val="center"/>
            <w:hideMark/>
          </w:tcPr>
          <w:p w14:paraId="4CCCA4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1C3A1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91E34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06CA43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187DD6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E99D4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469AADAF"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FD24B1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198C4C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w:t>
            </w:r>
          </w:p>
        </w:tc>
        <w:tc>
          <w:tcPr>
            <w:tcW w:w="1151" w:type="dxa"/>
            <w:tcBorders>
              <w:top w:val="nil"/>
              <w:left w:val="nil"/>
              <w:bottom w:val="single" w:sz="4" w:space="0" w:color="auto"/>
              <w:right w:val="single" w:sz="4" w:space="0" w:color="auto"/>
            </w:tcBorders>
            <w:shd w:val="clear" w:color="000000" w:fill="FFFFFF"/>
            <w:hideMark/>
          </w:tcPr>
          <w:p w14:paraId="7CC1919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28FBD18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000000"/>
              <w:right w:val="single" w:sz="4" w:space="0" w:color="000000"/>
            </w:tcBorders>
            <w:shd w:val="clear" w:color="000000" w:fill="C0C0C0"/>
            <w:noWrap/>
            <w:vAlign w:val="center"/>
            <w:hideMark/>
          </w:tcPr>
          <w:p w14:paraId="5FA3242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10AED7C5"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1E984DC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53EB868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0D94E9B3"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24D626C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E576A8C" w14:textId="77777777" w:rsidTr="00996507">
        <w:trPr>
          <w:trHeight w:val="780"/>
        </w:trPr>
        <w:tc>
          <w:tcPr>
            <w:tcW w:w="1701" w:type="dxa"/>
            <w:vMerge/>
            <w:tcBorders>
              <w:top w:val="nil"/>
              <w:left w:val="single" w:sz="4" w:space="0" w:color="auto"/>
              <w:bottom w:val="single" w:sz="4" w:space="0" w:color="auto"/>
              <w:right w:val="single" w:sz="4" w:space="0" w:color="auto"/>
            </w:tcBorders>
            <w:vAlign w:val="center"/>
            <w:hideMark/>
          </w:tcPr>
          <w:p w14:paraId="3705E30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7E4205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151" w:type="dxa"/>
            <w:tcBorders>
              <w:top w:val="nil"/>
              <w:left w:val="nil"/>
              <w:bottom w:val="single" w:sz="4" w:space="0" w:color="auto"/>
              <w:right w:val="single" w:sz="4" w:space="0" w:color="auto"/>
            </w:tcBorders>
            <w:shd w:val="clear" w:color="000000" w:fill="FFFFFF"/>
            <w:hideMark/>
          </w:tcPr>
          <w:p w14:paraId="05B9B9C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4118805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8.1</w:t>
            </w:r>
          </w:p>
        </w:tc>
        <w:tc>
          <w:tcPr>
            <w:tcW w:w="1276" w:type="dxa"/>
            <w:tcBorders>
              <w:top w:val="nil"/>
              <w:left w:val="nil"/>
              <w:bottom w:val="single" w:sz="4" w:space="0" w:color="000000"/>
              <w:right w:val="single" w:sz="4" w:space="0" w:color="000000"/>
            </w:tcBorders>
            <w:shd w:val="clear" w:color="auto" w:fill="auto"/>
            <w:noWrap/>
            <w:vAlign w:val="center"/>
            <w:hideMark/>
          </w:tcPr>
          <w:p w14:paraId="63FFCE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67 021,3</w:t>
            </w:r>
          </w:p>
        </w:tc>
        <w:tc>
          <w:tcPr>
            <w:tcW w:w="1275" w:type="dxa"/>
            <w:tcBorders>
              <w:top w:val="nil"/>
              <w:left w:val="nil"/>
              <w:bottom w:val="single" w:sz="4" w:space="0" w:color="000000"/>
              <w:right w:val="single" w:sz="4" w:space="0" w:color="000000"/>
            </w:tcBorders>
            <w:shd w:val="clear" w:color="auto" w:fill="auto"/>
            <w:noWrap/>
            <w:vAlign w:val="center"/>
            <w:hideMark/>
          </w:tcPr>
          <w:p w14:paraId="6792FF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67 549,2</w:t>
            </w:r>
          </w:p>
        </w:tc>
        <w:tc>
          <w:tcPr>
            <w:tcW w:w="1275" w:type="dxa"/>
            <w:tcBorders>
              <w:top w:val="nil"/>
              <w:left w:val="nil"/>
              <w:bottom w:val="single" w:sz="4" w:space="0" w:color="000000"/>
              <w:right w:val="single" w:sz="4" w:space="0" w:color="000000"/>
            </w:tcBorders>
            <w:shd w:val="clear" w:color="auto" w:fill="auto"/>
            <w:noWrap/>
            <w:vAlign w:val="center"/>
            <w:hideMark/>
          </w:tcPr>
          <w:p w14:paraId="0D6D6B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69 294,1</w:t>
            </w:r>
          </w:p>
        </w:tc>
        <w:tc>
          <w:tcPr>
            <w:tcW w:w="1277" w:type="dxa"/>
            <w:tcBorders>
              <w:top w:val="nil"/>
              <w:left w:val="nil"/>
              <w:bottom w:val="single" w:sz="4" w:space="0" w:color="000000"/>
              <w:right w:val="single" w:sz="4" w:space="0" w:color="000000"/>
            </w:tcBorders>
            <w:shd w:val="clear" w:color="auto" w:fill="auto"/>
            <w:noWrap/>
            <w:vAlign w:val="center"/>
            <w:hideMark/>
          </w:tcPr>
          <w:p w14:paraId="39B9D8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69 796,6</w:t>
            </w:r>
          </w:p>
        </w:tc>
        <w:tc>
          <w:tcPr>
            <w:tcW w:w="1276" w:type="dxa"/>
            <w:tcBorders>
              <w:top w:val="nil"/>
              <w:left w:val="nil"/>
              <w:bottom w:val="single" w:sz="4" w:space="0" w:color="000000"/>
              <w:right w:val="single" w:sz="4" w:space="0" w:color="000000"/>
            </w:tcBorders>
            <w:shd w:val="clear" w:color="auto" w:fill="auto"/>
            <w:noWrap/>
            <w:vAlign w:val="center"/>
            <w:hideMark/>
          </w:tcPr>
          <w:p w14:paraId="29BBAE5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70 704,0</w:t>
            </w:r>
          </w:p>
        </w:tc>
        <w:tc>
          <w:tcPr>
            <w:tcW w:w="1275" w:type="dxa"/>
            <w:tcBorders>
              <w:top w:val="nil"/>
              <w:left w:val="nil"/>
              <w:bottom w:val="single" w:sz="4" w:space="0" w:color="000000"/>
              <w:right w:val="single" w:sz="4" w:space="0" w:color="000000"/>
            </w:tcBorders>
            <w:shd w:val="clear" w:color="auto" w:fill="auto"/>
            <w:noWrap/>
            <w:vAlign w:val="center"/>
            <w:hideMark/>
          </w:tcPr>
          <w:p w14:paraId="201CDD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71 198,0</w:t>
            </w:r>
          </w:p>
        </w:tc>
      </w:tr>
      <w:tr w:rsidR="00996507" w:rsidRPr="00996507" w14:paraId="23419E0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A9F48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B9A7C0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5095B3D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1A215D5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8.2</w:t>
            </w:r>
          </w:p>
        </w:tc>
        <w:tc>
          <w:tcPr>
            <w:tcW w:w="1276" w:type="dxa"/>
            <w:tcBorders>
              <w:top w:val="nil"/>
              <w:left w:val="nil"/>
              <w:bottom w:val="single" w:sz="4" w:space="0" w:color="000000"/>
              <w:right w:val="single" w:sz="4" w:space="0" w:color="000000"/>
            </w:tcBorders>
            <w:shd w:val="clear" w:color="auto" w:fill="auto"/>
            <w:noWrap/>
            <w:vAlign w:val="center"/>
            <w:hideMark/>
          </w:tcPr>
          <w:p w14:paraId="0D0737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38 309,8</w:t>
            </w:r>
          </w:p>
        </w:tc>
        <w:tc>
          <w:tcPr>
            <w:tcW w:w="1275" w:type="dxa"/>
            <w:tcBorders>
              <w:top w:val="nil"/>
              <w:left w:val="nil"/>
              <w:bottom w:val="single" w:sz="4" w:space="0" w:color="000000"/>
              <w:right w:val="single" w:sz="4" w:space="0" w:color="000000"/>
            </w:tcBorders>
            <w:shd w:val="clear" w:color="auto" w:fill="auto"/>
            <w:noWrap/>
            <w:vAlign w:val="center"/>
            <w:hideMark/>
          </w:tcPr>
          <w:p w14:paraId="68E9730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36 701,4</w:t>
            </w:r>
          </w:p>
        </w:tc>
        <w:tc>
          <w:tcPr>
            <w:tcW w:w="1275" w:type="dxa"/>
            <w:tcBorders>
              <w:top w:val="nil"/>
              <w:left w:val="nil"/>
              <w:bottom w:val="single" w:sz="4" w:space="0" w:color="000000"/>
              <w:right w:val="single" w:sz="4" w:space="0" w:color="000000"/>
            </w:tcBorders>
            <w:shd w:val="clear" w:color="auto" w:fill="auto"/>
            <w:noWrap/>
            <w:vAlign w:val="center"/>
            <w:hideMark/>
          </w:tcPr>
          <w:p w14:paraId="5EEFD1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c>
          <w:tcPr>
            <w:tcW w:w="1277" w:type="dxa"/>
            <w:tcBorders>
              <w:top w:val="nil"/>
              <w:left w:val="nil"/>
              <w:bottom w:val="single" w:sz="4" w:space="0" w:color="000000"/>
              <w:right w:val="single" w:sz="4" w:space="0" w:color="000000"/>
            </w:tcBorders>
            <w:shd w:val="clear" w:color="auto" w:fill="auto"/>
            <w:noWrap/>
            <w:vAlign w:val="center"/>
            <w:hideMark/>
          </w:tcPr>
          <w:p w14:paraId="314322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c>
          <w:tcPr>
            <w:tcW w:w="1276" w:type="dxa"/>
            <w:tcBorders>
              <w:top w:val="nil"/>
              <w:left w:val="nil"/>
              <w:bottom w:val="single" w:sz="4" w:space="0" w:color="000000"/>
              <w:right w:val="single" w:sz="4" w:space="0" w:color="000000"/>
            </w:tcBorders>
            <w:shd w:val="clear" w:color="auto" w:fill="auto"/>
            <w:noWrap/>
            <w:vAlign w:val="center"/>
            <w:hideMark/>
          </w:tcPr>
          <w:p w14:paraId="7782629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c>
          <w:tcPr>
            <w:tcW w:w="1275" w:type="dxa"/>
            <w:tcBorders>
              <w:top w:val="nil"/>
              <w:left w:val="nil"/>
              <w:bottom w:val="single" w:sz="4" w:space="0" w:color="000000"/>
              <w:right w:val="single" w:sz="4" w:space="0" w:color="000000"/>
            </w:tcBorders>
            <w:shd w:val="clear" w:color="auto" w:fill="auto"/>
            <w:noWrap/>
            <w:vAlign w:val="center"/>
            <w:hideMark/>
          </w:tcPr>
          <w:p w14:paraId="600E64E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r>
      <w:tr w:rsidR="00996507" w:rsidRPr="00996507" w14:paraId="0E5048D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759320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3E170E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1AB4AAB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200586F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8.3</w:t>
            </w:r>
          </w:p>
        </w:tc>
        <w:tc>
          <w:tcPr>
            <w:tcW w:w="1276" w:type="dxa"/>
            <w:tcBorders>
              <w:top w:val="nil"/>
              <w:left w:val="nil"/>
              <w:bottom w:val="single" w:sz="4" w:space="0" w:color="000000"/>
              <w:right w:val="single" w:sz="4" w:space="0" w:color="000000"/>
            </w:tcBorders>
            <w:shd w:val="clear" w:color="auto" w:fill="auto"/>
            <w:noWrap/>
            <w:vAlign w:val="center"/>
            <w:hideMark/>
          </w:tcPr>
          <w:p w14:paraId="0F18A2A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55 269,6</w:t>
            </w:r>
          </w:p>
        </w:tc>
        <w:tc>
          <w:tcPr>
            <w:tcW w:w="1275" w:type="dxa"/>
            <w:tcBorders>
              <w:top w:val="nil"/>
              <w:left w:val="nil"/>
              <w:bottom w:val="single" w:sz="4" w:space="0" w:color="000000"/>
              <w:right w:val="single" w:sz="4" w:space="0" w:color="000000"/>
            </w:tcBorders>
            <w:shd w:val="clear" w:color="auto" w:fill="auto"/>
            <w:noWrap/>
            <w:vAlign w:val="center"/>
            <w:hideMark/>
          </w:tcPr>
          <w:p w14:paraId="3F25AF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56 707,1</w:t>
            </w:r>
          </w:p>
        </w:tc>
        <w:tc>
          <w:tcPr>
            <w:tcW w:w="1275" w:type="dxa"/>
            <w:tcBorders>
              <w:top w:val="nil"/>
              <w:left w:val="nil"/>
              <w:bottom w:val="single" w:sz="4" w:space="0" w:color="000000"/>
              <w:right w:val="single" w:sz="4" w:space="0" w:color="000000"/>
            </w:tcBorders>
            <w:shd w:val="clear" w:color="auto" w:fill="auto"/>
            <w:noWrap/>
            <w:vAlign w:val="center"/>
            <w:hideMark/>
          </w:tcPr>
          <w:p w14:paraId="23DCB7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58 025,2</w:t>
            </w:r>
          </w:p>
        </w:tc>
        <w:tc>
          <w:tcPr>
            <w:tcW w:w="1277" w:type="dxa"/>
            <w:tcBorders>
              <w:top w:val="nil"/>
              <w:left w:val="nil"/>
              <w:bottom w:val="single" w:sz="4" w:space="0" w:color="000000"/>
              <w:right w:val="single" w:sz="4" w:space="0" w:color="000000"/>
            </w:tcBorders>
            <w:shd w:val="clear" w:color="auto" w:fill="auto"/>
            <w:noWrap/>
            <w:vAlign w:val="center"/>
            <w:hideMark/>
          </w:tcPr>
          <w:p w14:paraId="656E08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55 424,0</w:t>
            </w:r>
          </w:p>
        </w:tc>
        <w:tc>
          <w:tcPr>
            <w:tcW w:w="1276" w:type="dxa"/>
            <w:tcBorders>
              <w:top w:val="nil"/>
              <w:left w:val="nil"/>
              <w:bottom w:val="single" w:sz="4" w:space="0" w:color="000000"/>
              <w:right w:val="single" w:sz="4" w:space="0" w:color="000000"/>
            </w:tcBorders>
            <w:shd w:val="clear" w:color="auto" w:fill="auto"/>
            <w:noWrap/>
            <w:vAlign w:val="center"/>
            <w:hideMark/>
          </w:tcPr>
          <w:p w14:paraId="4952C86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55 424,0</w:t>
            </w:r>
          </w:p>
        </w:tc>
        <w:tc>
          <w:tcPr>
            <w:tcW w:w="1275" w:type="dxa"/>
            <w:tcBorders>
              <w:top w:val="nil"/>
              <w:left w:val="nil"/>
              <w:bottom w:val="single" w:sz="4" w:space="0" w:color="000000"/>
              <w:right w:val="single" w:sz="4" w:space="0" w:color="000000"/>
            </w:tcBorders>
            <w:shd w:val="clear" w:color="auto" w:fill="auto"/>
            <w:noWrap/>
            <w:vAlign w:val="center"/>
            <w:hideMark/>
          </w:tcPr>
          <w:p w14:paraId="07DEED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55 424,0</w:t>
            </w:r>
          </w:p>
        </w:tc>
      </w:tr>
      <w:tr w:rsidR="00996507" w:rsidRPr="00996507" w14:paraId="380EF93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907D8F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D1A782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7B8071D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099D3BA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w:t>
            </w:r>
          </w:p>
        </w:tc>
        <w:tc>
          <w:tcPr>
            <w:tcW w:w="1276" w:type="dxa"/>
            <w:tcBorders>
              <w:top w:val="nil"/>
              <w:left w:val="nil"/>
              <w:bottom w:val="single" w:sz="4" w:space="0" w:color="000000"/>
              <w:right w:val="single" w:sz="4" w:space="0" w:color="000000"/>
            </w:tcBorders>
            <w:shd w:val="clear" w:color="000000" w:fill="C0C0C0"/>
            <w:noWrap/>
            <w:vAlign w:val="center"/>
            <w:hideMark/>
          </w:tcPr>
          <w:p w14:paraId="700710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60 411,1</w:t>
            </w:r>
          </w:p>
        </w:tc>
        <w:tc>
          <w:tcPr>
            <w:tcW w:w="1275" w:type="dxa"/>
            <w:tcBorders>
              <w:top w:val="nil"/>
              <w:left w:val="nil"/>
              <w:bottom w:val="single" w:sz="4" w:space="0" w:color="000000"/>
              <w:right w:val="single" w:sz="4" w:space="0" w:color="000000"/>
            </w:tcBorders>
            <w:shd w:val="clear" w:color="000000" w:fill="C0C0C0"/>
            <w:noWrap/>
            <w:vAlign w:val="center"/>
            <w:hideMark/>
          </w:tcPr>
          <w:p w14:paraId="5A0633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61 207,6</w:t>
            </w:r>
          </w:p>
        </w:tc>
        <w:tc>
          <w:tcPr>
            <w:tcW w:w="1275" w:type="dxa"/>
            <w:tcBorders>
              <w:top w:val="nil"/>
              <w:left w:val="nil"/>
              <w:bottom w:val="single" w:sz="4" w:space="0" w:color="000000"/>
              <w:right w:val="single" w:sz="4" w:space="0" w:color="000000"/>
            </w:tcBorders>
            <w:shd w:val="clear" w:color="000000" w:fill="C0C0C0"/>
            <w:noWrap/>
            <w:vAlign w:val="center"/>
            <w:hideMark/>
          </w:tcPr>
          <w:p w14:paraId="3AE9D2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60 875,0</w:t>
            </w:r>
          </w:p>
        </w:tc>
        <w:tc>
          <w:tcPr>
            <w:tcW w:w="1277" w:type="dxa"/>
            <w:tcBorders>
              <w:top w:val="nil"/>
              <w:left w:val="nil"/>
              <w:bottom w:val="single" w:sz="4" w:space="0" w:color="000000"/>
              <w:right w:val="single" w:sz="4" w:space="0" w:color="000000"/>
            </w:tcBorders>
            <w:shd w:val="clear" w:color="000000" w:fill="C0C0C0"/>
            <w:noWrap/>
            <w:vAlign w:val="center"/>
            <w:hideMark/>
          </w:tcPr>
          <w:p w14:paraId="374622A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60 989,1</w:t>
            </w:r>
          </w:p>
        </w:tc>
        <w:tc>
          <w:tcPr>
            <w:tcW w:w="1276" w:type="dxa"/>
            <w:tcBorders>
              <w:top w:val="nil"/>
              <w:left w:val="nil"/>
              <w:bottom w:val="single" w:sz="4" w:space="0" w:color="000000"/>
              <w:right w:val="single" w:sz="4" w:space="0" w:color="000000"/>
            </w:tcBorders>
            <w:shd w:val="clear" w:color="000000" w:fill="C0C0C0"/>
            <w:noWrap/>
            <w:vAlign w:val="center"/>
            <w:hideMark/>
          </w:tcPr>
          <w:p w14:paraId="18AC4E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60 989,1</w:t>
            </w:r>
          </w:p>
        </w:tc>
        <w:tc>
          <w:tcPr>
            <w:tcW w:w="1275" w:type="dxa"/>
            <w:tcBorders>
              <w:top w:val="nil"/>
              <w:left w:val="nil"/>
              <w:bottom w:val="single" w:sz="4" w:space="0" w:color="000000"/>
              <w:right w:val="single" w:sz="4" w:space="0" w:color="000000"/>
            </w:tcBorders>
            <w:shd w:val="clear" w:color="000000" w:fill="C0C0C0"/>
            <w:noWrap/>
            <w:vAlign w:val="center"/>
            <w:hideMark/>
          </w:tcPr>
          <w:p w14:paraId="255B3BB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60 989,1</w:t>
            </w:r>
          </w:p>
        </w:tc>
      </w:tr>
      <w:tr w:rsidR="00996507" w:rsidRPr="00996507" w14:paraId="1B29B18A"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317B274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C9F35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образовательных учреждений для детей дошкольного и младшего школьного возраста, начисленная из 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62C8ADE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47C488F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8.4.1</w:t>
            </w:r>
          </w:p>
        </w:tc>
        <w:tc>
          <w:tcPr>
            <w:tcW w:w="1276" w:type="dxa"/>
            <w:tcBorders>
              <w:top w:val="nil"/>
              <w:left w:val="nil"/>
              <w:bottom w:val="single" w:sz="4" w:space="0" w:color="000000"/>
              <w:right w:val="single" w:sz="4" w:space="0" w:color="000000"/>
            </w:tcBorders>
            <w:shd w:val="clear" w:color="auto" w:fill="auto"/>
            <w:noWrap/>
            <w:vAlign w:val="center"/>
            <w:hideMark/>
          </w:tcPr>
          <w:p w14:paraId="59C6D3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B9F69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D9357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88F41D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ADD3483"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53345EE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2AB9C23A"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98CCB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954D75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образовательных учреждений для детей дошкольного и младшего школьного возраста, начисленная из внебюджетных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66D595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2AE541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8.4.2</w:t>
            </w:r>
          </w:p>
        </w:tc>
        <w:tc>
          <w:tcPr>
            <w:tcW w:w="1276" w:type="dxa"/>
            <w:tcBorders>
              <w:top w:val="nil"/>
              <w:left w:val="nil"/>
              <w:bottom w:val="single" w:sz="4" w:space="0" w:color="000000"/>
              <w:right w:val="single" w:sz="4" w:space="0" w:color="000000"/>
            </w:tcBorders>
            <w:shd w:val="clear" w:color="auto" w:fill="auto"/>
            <w:noWrap/>
            <w:vAlign w:val="center"/>
            <w:hideMark/>
          </w:tcPr>
          <w:p w14:paraId="380E78E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E4138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73350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1691A61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C9C69E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4797EF0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19C3BFF4" w14:textId="77777777" w:rsidTr="00996507">
        <w:trPr>
          <w:trHeight w:val="840"/>
        </w:trPr>
        <w:tc>
          <w:tcPr>
            <w:tcW w:w="1701" w:type="dxa"/>
            <w:vMerge/>
            <w:tcBorders>
              <w:top w:val="nil"/>
              <w:left w:val="single" w:sz="4" w:space="0" w:color="auto"/>
              <w:bottom w:val="single" w:sz="4" w:space="0" w:color="auto"/>
              <w:right w:val="single" w:sz="4" w:space="0" w:color="auto"/>
            </w:tcBorders>
            <w:vAlign w:val="center"/>
            <w:hideMark/>
          </w:tcPr>
          <w:p w14:paraId="335CE7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E1743E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общеобразовательных учреждений, начисленная из 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2D95627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56EE5B3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8.4.3</w:t>
            </w:r>
          </w:p>
        </w:tc>
        <w:tc>
          <w:tcPr>
            <w:tcW w:w="1276" w:type="dxa"/>
            <w:tcBorders>
              <w:top w:val="nil"/>
              <w:left w:val="nil"/>
              <w:bottom w:val="single" w:sz="4" w:space="0" w:color="000000"/>
              <w:right w:val="single" w:sz="4" w:space="0" w:color="000000"/>
            </w:tcBorders>
            <w:shd w:val="clear" w:color="auto" w:fill="auto"/>
            <w:noWrap/>
            <w:vAlign w:val="center"/>
            <w:hideMark/>
          </w:tcPr>
          <w:p w14:paraId="112F63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420 461</w:t>
            </w:r>
          </w:p>
        </w:tc>
        <w:tc>
          <w:tcPr>
            <w:tcW w:w="1275" w:type="dxa"/>
            <w:tcBorders>
              <w:top w:val="nil"/>
              <w:left w:val="nil"/>
              <w:bottom w:val="single" w:sz="4" w:space="0" w:color="000000"/>
              <w:right w:val="single" w:sz="4" w:space="0" w:color="000000"/>
            </w:tcBorders>
            <w:shd w:val="clear" w:color="auto" w:fill="auto"/>
            <w:noWrap/>
            <w:vAlign w:val="center"/>
            <w:hideMark/>
          </w:tcPr>
          <w:p w14:paraId="6210550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401 032</w:t>
            </w:r>
          </w:p>
        </w:tc>
        <w:tc>
          <w:tcPr>
            <w:tcW w:w="1275" w:type="dxa"/>
            <w:tcBorders>
              <w:top w:val="nil"/>
              <w:left w:val="nil"/>
              <w:bottom w:val="single" w:sz="4" w:space="0" w:color="000000"/>
              <w:right w:val="single" w:sz="4" w:space="0" w:color="000000"/>
            </w:tcBorders>
            <w:shd w:val="clear" w:color="auto" w:fill="auto"/>
            <w:noWrap/>
            <w:vAlign w:val="center"/>
            <w:hideMark/>
          </w:tcPr>
          <w:p w14:paraId="279B555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439 834</w:t>
            </w:r>
          </w:p>
        </w:tc>
        <w:tc>
          <w:tcPr>
            <w:tcW w:w="1277" w:type="dxa"/>
            <w:tcBorders>
              <w:top w:val="nil"/>
              <w:left w:val="nil"/>
              <w:bottom w:val="single" w:sz="4" w:space="0" w:color="000000"/>
              <w:right w:val="single" w:sz="4" w:space="0" w:color="000000"/>
            </w:tcBorders>
            <w:shd w:val="clear" w:color="auto" w:fill="auto"/>
            <w:noWrap/>
            <w:vAlign w:val="center"/>
            <w:hideMark/>
          </w:tcPr>
          <w:p w14:paraId="0D26F73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AE649A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5FA360C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4815E7B1" w14:textId="77777777" w:rsidTr="00996507">
        <w:trPr>
          <w:trHeight w:val="840"/>
        </w:trPr>
        <w:tc>
          <w:tcPr>
            <w:tcW w:w="1701" w:type="dxa"/>
            <w:vMerge/>
            <w:tcBorders>
              <w:top w:val="nil"/>
              <w:left w:val="single" w:sz="4" w:space="0" w:color="auto"/>
              <w:bottom w:val="single" w:sz="4" w:space="0" w:color="auto"/>
              <w:right w:val="single" w:sz="4" w:space="0" w:color="auto"/>
            </w:tcBorders>
            <w:vAlign w:val="center"/>
            <w:hideMark/>
          </w:tcPr>
          <w:p w14:paraId="05A7C6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074858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общеобразовательных учреждений, начисленная из внебюджетных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6132CFB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557E3F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8.4.4</w:t>
            </w:r>
          </w:p>
        </w:tc>
        <w:tc>
          <w:tcPr>
            <w:tcW w:w="1276" w:type="dxa"/>
            <w:tcBorders>
              <w:top w:val="nil"/>
              <w:left w:val="nil"/>
              <w:bottom w:val="single" w:sz="4" w:space="0" w:color="000000"/>
              <w:right w:val="single" w:sz="4" w:space="0" w:color="000000"/>
            </w:tcBorders>
            <w:shd w:val="clear" w:color="auto" w:fill="auto"/>
            <w:noWrap/>
            <w:vAlign w:val="center"/>
            <w:hideMark/>
          </w:tcPr>
          <w:p w14:paraId="47D078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3A8F2B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3755A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6821E89D"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7E5B5F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4283746A"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3399C3AD"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B663B5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BFEF10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Cреднегодовая численность учителей образовательных учреждений для детей дошкольного и младшего школьного возраста</w:t>
            </w:r>
          </w:p>
        </w:tc>
        <w:tc>
          <w:tcPr>
            <w:tcW w:w="1151" w:type="dxa"/>
            <w:tcBorders>
              <w:top w:val="nil"/>
              <w:left w:val="nil"/>
              <w:bottom w:val="single" w:sz="4" w:space="0" w:color="auto"/>
              <w:right w:val="single" w:sz="4" w:space="0" w:color="auto"/>
            </w:tcBorders>
            <w:shd w:val="clear" w:color="000000" w:fill="FFFFFF"/>
            <w:hideMark/>
          </w:tcPr>
          <w:p w14:paraId="2E71D9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0A6B88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8.4.5</w:t>
            </w:r>
          </w:p>
        </w:tc>
        <w:tc>
          <w:tcPr>
            <w:tcW w:w="1276" w:type="dxa"/>
            <w:tcBorders>
              <w:top w:val="nil"/>
              <w:left w:val="nil"/>
              <w:bottom w:val="single" w:sz="4" w:space="0" w:color="000000"/>
              <w:right w:val="single" w:sz="4" w:space="0" w:color="000000"/>
            </w:tcBorders>
            <w:shd w:val="clear" w:color="auto" w:fill="auto"/>
            <w:noWrap/>
            <w:vAlign w:val="center"/>
            <w:hideMark/>
          </w:tcPr>
          <w:p w14:paraId="7701A0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46CD0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D773E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529BCC7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DFF689D"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0A5D2D26"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5E4F0A99"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CF4988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E8BE38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учителей общеобразовательных учреждений (городская и сельская местность)</w:t>
            </w:r>
          </w:p>
        </w:tc>
        <w:tc>
          <w:tcPr>
            <w:tcW w:w="1151" w:type="dxa"/>
            <w:tcBorders>
              <w:top w:val="nil"/>
              <w:left w:val="nil"/>
              <w:bottom w:val="single" w:sz="4" w:space="0" w:color="auto"/>
              <w:right w:val="single" w:sz="4" w:space="0" w:color="auto"/>
            </w:tcBorders>
            <w:shd w:val="clear" w:color="000000" w:fill="FFFFFF"/>
            <w:hideMark/>
          </w:tcPr>
          <w:p w14:paraId="17A4C19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6A432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8.4.6</w:t>
            </w:r>
          </w:p>
        </w:tc>
        <w:tc>
          <w:tcPr>
            <w:tcW w:w="1276" w:type="dxa"/>
            <w:tcBorders>
              <w:top w:val="nil"/>
              <w:left w:val="nil"/>
              <w:bottom w:val="single" w:sz="4" w:space="0" w:color="000000"/>
              <w:right w:val="single" w:sz="4" w:space="0" w:color="000000"/>
            </w:tcBorders>
            <w:shd w:val="clear" w:color="auto" w:fill="auto"/>
            <w:noWrap/>
            <w:vAlign w:val="center"/>
            <w:hideMark/>
          </w:tcPr>
          <w:p w14:paraId="0420CEE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580</w:t>
            </w:r>
          </w:p>
        </w:tc>
        <w:tc>
          <w:tcPr>
            <w:tcW w:w="1275" w:type="dxa"/>
            <w:tcBorders>
              <w:top w:val="nil"/>
              <w:left w:val="nil"/>
              <w:bottom w:val="single" w:sz="4" w:space="0" w:color="000000"/>
              <w:right w:val="single" w:sz="4" w:space="0" w:color="000000"/>
            </w:tcBorders>
            <w:shd w:val="clear" w:color="auto" w:fill="auto"/>
            <w:noWrap/>
            <w:vAlign w:val="center"/>
            <w:hideMark/>
          </w:tcPr>
          <w:p w14:paraId="79AF28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546</w:t>
            </w:r>
          </w:p>
        </w:tc>
        <w:tc>
          <w:tcPr>
            <w:tcW w:w="1275" w:type="dxa"/>
            <w:tcBorders>
              <w:top w:val="nil"/>
              <w:left w:val="nil"/>
              <w:bottom w:val="single" w:sz="4" w:space="0" w:color="000000"/>
              <w:right w:val="single" w:sz="4" w:space="0" w:color="000000"/>
            </w:tcBorders>
            <w:shd w:val="clear" w:color="auto" w:fill="auto"/>
            <w:noWrap/>
            <w:vAlign w:val="center"/>
            <w:hideMark/>
          </w:tcPr>
          <w:p w14:paraId="4FADA3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602</w:t>
            </w:r>
          </w:p>
        </w:tc>
        <w:tc>
          <w:tcPr>
            <w:tcW w:w="1277" w:type="dxa"/>
            <w:tcBorders>
              <w:top w:val="nil"/>
              <w:left w:val="nil"/>
              <w:bottom w:val="single" w:sz="4" w:space="0" w:color="000000"/>
              <w:right w:val="single" w:sz="4" w:space="0" w:color="000000"/>
            </w:tcBorders>
            <w:shd w:val="clear" w:color="auto" w:fill="auto"/>
            <w:noWrap/>
            <w:vAlign w:val="center"/>
            <w:hideMark/>
          </w:tcPr>
          <w:p w14:paraId="5370D126"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A14801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6F81B6CF"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61E93EA7"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95682E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6E879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151" w:type="dxa"/>
            <w:tcBorders>
              <w:top w:val="nil"/>
              <w:left w:val="nil"/>
              <w:bottom w:val="single" w:sz="4" w:space="0" w:color="auto"/>
              <w:right w:val="single" w:sz="4" w:space="0" w:color="auto"/>
            </w:tcBorders>
            <w:shd w:val="clear" w:color="000000" w:fill="FFFFFF"/>
            <w:hideMark/>
          </w:tcPr>
          <w:p w14:paraId="3F9AB1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2C982F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8.5</w:t>
            </w:r>
          </w:p>
        </w:tc>
        <w:tc>
          <w:tcPr>
            <w:tcW w:w="1276" w:type="dxa"/>
            <w:tcBorders>
              <w:top w:val="nil"/>
              <w:left w:val="nil"/>
              <w:bottom w:val="single" w:sz="4" w:space="0" w:color="000000"/>
              <w:right w:val="single" w:sz="4" w:space="0" w:color="000000"/>
            </w:tcBorders>
            <w:shd w:val="clear" w:color="auto" w:fill="auto"/>
            <w:noWrap/>
            <w:vAlign w:val="center"/>
            <w:hideMark/>
          </w:tcPr>
          <w:p w14:paraId="6568DD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45 538,7</w:t>
            </w:r>
          </w:p>
        </w:tc>
        <w:tc>
          <w:tcPr>
            <w:tcW w:w="1275" w:type="dxa"/>
            <w:tcBorders>
              <w:top w:val="nil"/>
              <w:left w:val="nil"/>
              <w:bottom w:val="single" w:sz="4" w:space="0" w:color="000000"/>
              <w:right w:val="single" w:sz="4" w:space="0" w:color="000000"/>
            </w:tcBorders>
            <w:shd w:val="clear" w:color="auto" w:fill="auto"/>
            <w:noWrap/>
            <w:vAlign w:val="center"/>
            <w:hideMark/>
          </w:tcPr>
          <w:p w14:paraId="02FFBA2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48 022,8</w:t>
            </w:r>
          </w:p>
        </w:tc>
        <w:tc>
          <w:tcPr>
            <w:tcW w:w="1275" w:type="dxa"/>
            <w:tcBorders>
              <w:top w:val="nil"/>
              <w:left w:val="nil"/>
              <w:bottom w:val="single" w:sz="4" w:space="0" w:color="000000"/>
              <w:right w:val="single" w:sz="4" w:space="0" w:color="000000"/>
            </w:tcBorders>
            <w:shd w:val="clear" w:color="auto" w:fill="auto"/>
            <w:noWrap/>
            <w:vAlign w:val="center"/>
            <w:hideMark/>
          </w:tcPr>
          <w:p w14:paraId="279648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50 662,9</w:t>
            </w:r>
          </w:p>
        </w:tc>
        <w:tc>
          <w:tcPr>
            <w:tcW w:w="1277" w:type="dxa"/>
            <w:tcBorders>
              <w:top w:val="nil"/>
              <w:left w:val="nil"/>
              <w:bottom w:val="single" w:sz="4" w:space="0" w:color="000000"/>
              <w:right w:val="single" w:sz="4" w:space="0" w:color="000000"/>
            </w:tcBorders>
            <w:shd w:val="clear" w:color="auto" w:fill="auto"/>
            <w:noWrap/>
            <w:vAlign w:val="center"/>
            <w:hideMark/>
          </w:tcPr>
          <w:p w14:paraId="4B60D1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53 195,0</w:t>
            </w:r>
          </w:p>
        </w:tc>
        <w:tc>
          <w:tcPr>
            <w:tcW w:w="1276" w:type="dxa"/>
            <w:tcBorders>
              <w:top w:val="nil"/>
              <w:left w:val="nil"/>
              <w:bottom w:val="single" w:sz="4" w:space="0" w:color="000000"/>
              <w:right w:val="single" w:sz="4" w:space="0" w:color="000000"/>
            </w:tcBorders>
            <w:shd w:val="clear" w:color="auto" w:fill="auto"/>
            <w:noWrap/>
            <w:vAlign w:val="center"/>
            <w:hideMark/>
          </w:tcPr>
          <w:p w14:paraId="5C437B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55 854,0</w:t>
            </w:r>
          </w:p>
        </w:tc>
        <w:tc>
          <w:tcPr>
            <w:tcW w:w="1275" w:type="dxa"/>
            <w:tcBorders>
              <w:top w:val="nil"/>
              <w:left w:val="nil"/>
              <w:bottom w:val="single" w:sz="4" w:space="0" w:color="000000"/>
              <w:right w:val="single" w:sz="4" w:space="0" w:color="000000"/>
            </w:tcBorders>
            <w:shd w:val="clear" w:color="auto" w:fill="auto"/>
            <w:noWrap/>
            <w:vAlign w:val="center"/>
            <w:hideMark/>
          </w:tcPr>
          <w:p w14:paraId="23E9F85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58 646,0</w:t>
            </w:r>
          </w:p>
        </w:tc>
      </w:tr>
      <w:tr w:rsidR="00996507" w:rsidRPr="00996507" w14:paraId="51C75B57"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C15821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2C2B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151" w:type="dxa"/>
            <w:tcBorders>
              <w:top w:val="nil"/>
              <w:left w:val="nil"/>
              <w:bottom w:val="single" w:sz="4" w:space="0" w:color="auto"/>
              <w:right w:val="single" w:sz="4" w:space="0" w:color="auto"/>
            </w:tcBorders>
            <w:shd w:val="clear" w:color="000000" w:fill="FFFFFF"/>
            <w:hideMark/>
          </w:tcPr>
          <w:p w14:paraId="69863A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5D8716D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8.6</w:t>
            </w:r>
          </w:p>
        </w:tc>
        <w:tc>
          <w:tcPr>
            <w:tcW w:w="1276" w:type="dxa"/>
            <w:tcBorders>
              <w:top w:val="nil"/>
              <w:left w:val="nil"/>
              <w:bottom w:val="single" w:sz="4" w:space="0" w:color="000000"/>
              <w:right w:val="single" w:sz="4" w:space="0" w:color="000000"/>
            </w:tcBorders>
            <w:shd w:val="clear" w:color="auto" w:fill="auto"/>
            <w:noWrap/>
            <w:vAlign w:val="center"/>
            <w:hideMark/>
          </w:tcPr>
          <w:p w14:paraId="2283C4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39 711,0</w:t>
            </w:r>
          </w:p>
        </w:tc>
        <w:tc>
          <w:tcPr>
            <w:tcW w:w="1275" w:type="dxa"/>
            <w:tcBorders>
              <w:top w:val="nil"/>
              <w:left w:val="nil"/>
              <w:bottom w:val="single" w:sz="4" w:space="0" w:color="000000"/>
              <w:right w:val="single" w:sz="4" w:space="0" w:color="000000"/>
            </w:tcBorders>
            <w:shd w:val="clear" w:color="auto" w:fill="auto"/>
            <w:noWrap/>
            <w:vAlign w:val="center"/>
            <w:hideMark/>
          </w:tcPr>
          <w:p w14:paraId="3415EA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40 765,2</w:t>
            </w:r>
          </w:p>
        </w:tc>
        <w:tc>
          <w:tcPr>
            <w:tcW w:w="1275" w:type="dxa"/>
            <w:tcBorders>
              <w:top w:val="nil"/>
              <w:left w:val="nil"/>
              <w:bottom w:val="single" w:sz="4" w:space="0" w:color="000000"/>
              <w:right w:val="single" w:sz="4" w:space="0" w:color="000000"/>
            </w:tcBorders>
            <w:shd w:val="clear" w:color="auto" w:fill="auto"/>
            <w:noWrap/>
            <w:vAlign w:val="center"/>
            <w:hideMark/>
          </w:tcPr>
          <w:p w14:paraId="47DE33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39 367,8</w:t>
            </w:r>
          </w:p>
        </w:tc>
        <w:tc>
          <w:tcPr>
            <w:tcW w:w="1277" w:type="dxa"/>
            <w:tcBorders>
              <w:top w:val="nil"/>
              <w:left w:val="nil"/>
              <w:bottom w:val="single" w:sz="4" w:space="0" w:color="000000"/>
              <w:right w:val="single" w:sz="4" w:space="0" w:color="000000"/>
            </w:tcBorders>
            <w:shd w:val="clear" w:color="auto" w:fill="auto"/>
            <w:noWrap/>
            <w:vAlign w:val="center"/>
            <w:hideMark/>
          </w:tcPr>
          <w:p w14:paraId="327D1F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40 352,0</w:t>
            </w:r>
          </w:p>
        </w:tc>
        <w:tc>
          <w:tcPr>
            <w:tcW w:w="1276" w:type="dxa"/>
            <w:tcBorders>
              <w:top w:val="nil"/>
              <w:left w:val="nil"/>
              <w:bottom w:val="single" w:sz="4" w:space="0" w:color="000000"/>
              <w:right w:val="single" w:sz="4" w:space="0" w:color="000000"/>
            </w:tcBorders>
            <w:shd w:val="clear" w:color="auto" w:fill="auto"/>
            <w:noWrap/>
            <w:vAlign w:val="center"/>
            <w:hideMark/>
          </w:tcPr>
          <w:p w14:paraId="052084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41 360,8</w:t>
            </w:r>
          </w:p>
        </w:tc>
        <w:tc>
          <w:tcPr>
            <w:tcW w:w="1275" w:type="dxa"/>
            <w:tcBorders>
              <w:top w:val="nil"/>
              <w:left w:val="nil"/>
              <w:bottom w:val="single" w:sz="4" w:space="0" w:color="000000"/>
              <w:right w:val="single" w:sz="4" w:space="0" w:color="000000"/>
            </w:tcBorders>
            <w:shd w:val="clear" w:color="auto" w:fill="auto"/>
            <w:noWrap/>
            <w:vAlign w:val="center"/>
            <w:hideMark/>
          </w:tcPr>
          <w:p w14:paraId="4B8F41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42 395,0</w:t>
            </w:r>
          </w:p>
        </w:tc>
      </w:tr>
      <w:tr w:rsidR="00996507" w:rsidRPr="00996507" w14:paraId="202ED815" w14:textId="77777777" w:rsidTr="00996507">
        <w:trPr>
          <w:trHeight w:val="127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6807F4B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Дошкольное образование</w:t>
            </w:r>
          </w:p>
        </w:tc>
        <w:tc>
          <w:tcPr>
            <w:tcW w:w="4378" w:type="dxa"/>
            <w:tcBorders>
              <w:top w:val="nil"/>
              <w:left w:val="nil"/>
              <w:bottom w:val="single" w:sz="4" w:space="0" w:color="auto"/>
              <w:right w:val="single" w:sz="4" w:space="0" w:color="auto"/>
            </w:tcBorders>
            <w:shd w:val="clear" w:color="000000" w:fill="FFFFFF"/>
            <w:hideMark/>
          </w:tcPr>
          <w:p w14:paraId="14430D3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51" w:type="dxa"/>
            <w:tcBorders>
              <w:top w:val="nil"/>
              <w:left w:val="nil"/>
              <w:bottom w:val="single" w:sz="4" w:space="0" w:color="auto"/>
              <w:right w:val="single" w:sz="4" w:space="0" w:color="auto"/>
            </w:tcBorders>
            <w:shd w:val="clear" w:color="000000" w:fill="FFFFFF"/>
            <w:hideMark/>
          </w:tcPr>
          <w:p w14:paraId="6B5E7B1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2A56DE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000000"/>
              <w:right w:val="single" w:sz="4" w:space="0" w:color="000000"/>
            </w:tcBorders>
            <w:shd w:val="clear" w:color="000000" w:fill="C0C0C0"/>
            <w:noWrap/>
            <w:vAlign w:val="center"/>
            <w:hideMark/>
          </w:tcPr>
          <w:p w14:paraId="3F7658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61,3</w:t>
            </w:r>
          </w:p>
        </w:tc>
        <w:tc>
          <w:tcPr>
            <w:tcW w:w="1275" w:type="dxa"/>
            <w:tcBorders>
              <w:top w:val="nil"/>
              <w:left w:val="nil"/>
              <w:bottom w:val="single" w:sz="4" w:space="0" w:color="000000"/>
              <w:right w:val="single" w:sz="4" w:space="0" w:color="000000"/>
            </w:tcBorders>
            <w:shd w:val="clear" w:color="000000" w:fill="C0C0C0"/>
            <w:noWrap/>
            <w:vAlign w:val="center"/>
            <w:hideMark/>
          </w:tcPr>
          <w:p w14:paraId="3A3AF7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66,4</w:t>
            </w:r>
          </w:p>
        </w:tc>
        <w:tc>
          <w:tcPr>
            <w:tcW w:w="1275" w:type="dxa"/>
            <w:tcBorders>
              <w:top w:val="nil"/>
              <w:left w:val="nil"/>
              <w:bottom w:val="single" w:sz="4" w:space="0" w:color="000000"/>
              <w:right w:val="single" w:sz="4" w:space="0" w:color="000000"/>
            </w:tcBorders>
            <w:shd w:val="clear" w:color="000000" w:fill="C0C0C0"/>
            <w:noWrap/>
            <w:vAlign w:val="center"/>
            <w:hideMark/>
          </w:tcPr>
          <w:p w14:paraId="033EDA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75,2</w:t>
            </w:r>
          </w:p>
        </w:tc>
        <w:tc>
          <w:tcPr>
            <w:tcW w:w="1277" w:type="dxa"/>
            <w:tcBorders>
              <w:top w:val="nil"/>
              <w:left w:val="nil"/>
              <w:bottom w:val="single" w:sz="4" w:space="0" w:color="000000"/>
              <w:right w:val="single" w:sz="4" w:space="0" w:color="000000"/>
            </w:tcBorders>
            <w:shd w:val="clear" w:color="000000" w:fill="C0C0C0"/>
            <w:noWrap/>
            <w:vAlign w:val="center"/>
            <w:hideMark/>
          </w:tcPr>
          <w:p w14:paraId="1D3E82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75,3</w:t>
            </w:r>
          </w:p>
        </w:tc>
        <w:tc>
          <w:tcPr>
            <w:tcW w:w="1276" w:type="dxa"/>
            <w:tcBorders>
              <w:top w:val="nil"/>
              <w:left w:val="nil"/>
              <w:bottom w:val="single" w:sz="4" w:space="0" w:color="000000"/>
              <w:right w:val="single" w:sz="4" w:space="0" w:color="000000"/>
            </w:tcBorders>
            <w:shd w:val="clear" w:color="000000" w:fill="C0C0C0"/>
            <w:noWrap/>
            <w:vAlign w:val="center"/>
            <w:hideMark/>
          </w:tcPr>
          <w:p w14:paraId="021F5C1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75,3</w:t>
            </w:r>
          </w:p>
        </w:tc>
        <w:tc>
          <w:tcPr>
            <w:tcW w:w="1275" w:type="dxa"/>
            <w:tcBorders>
              <w:top w:val="nil"/>
              <w:left w:val="nil"/>
              <w:bottom w:val="single" w:sz="4" w:space="0" w:color="000000"/>
              <w:right w:val="single" w:sz="4" w:space="0" w:color="000000"/>
            </w:tcBorders>
            <w:shd w:val="clear" w:color="000000" w:fill="C0C0C0"/>
            <w:noWrap/>
            <w:vAlign w:val="center"/>
            <w:hideMark/>
          </w:tcPr>
          <w:p w14:paraId="081B73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75,3</w:t>
            </w:r>
          </w:p>
        </w:tc>
      </w:tr>
      <w:tr w:rsidR="00996507" w:rsidRPr="00996507" w14:paraId="3618EA0E"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0244EC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EED28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240EE64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AA3E5F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9.1</w:t>
            </w:r>
          </w:p>
        </w:tc>
        <w:tc>
          <w:tcPr>
            <w:tcW w:w="1276" w:type="dxa"/>
            <w:tcBorders>
              <w:top w:val="nil"/>
              <w:left w:val="nil"/>
              <w:bottom w:val="single" w:sz="4" w:space="0" w:color="000000"/>
              <w:right w:val="single" w:sz="4" w:space="0" w:color="000000"/>
            </w:tcBorders>
            <w:shd w:val="clear" w:color="auto" w:fill="auto"/>
            <w:noWrap/>
            <w:vAlign w:val="center"/>
            <w:hideMark/>
          </w:tcPr>
          <w:p w14:paraId="2CBAF25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5 082</w:t>
            </w:r>
          </w:p>
        </w:tc>
        <w:tc>
          <w:tcPr>
            <w:tcW w:w="1275" w:type="dxa"/>
            <w:tcBorders>
              <w:top w:val="nil"/>
              <w:left w:val="nil"/>
              <w:bottom w:val="single" w:sz="4" w:space="0" w:color="000000"/>
              <w:right w:val="single" w:sz="4" w:space="0" w:color="000000"/>
            </w:tcBorders>
            <w:shd w:val="clear" w:color="auto" w:fill="auto"/>
            <w:noWrap/>
            <w:vAlign w:val="center"/>
            <w:hideMark/>
          </w:tcPr>
          <w:p w14:paraId="1AF03F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5 855</w:t>
            </w:r>
          </w:p>
        </w:tc>
        <w:tc>
          <w:tcPr>
            <w:tcW w:w="1275" w:type="dxa"/>
            <w:tcBorders>
              <w:top w:val="nil"/>
              <w:left w:val="nil"/>
              <w:bottom w:val="single" w:sz="4" w:space="0" w:color="000000"/>
              <w:right w:val="single" w:sz="4" w:space="0" w:color="000000"/>
            </w:tcBorders>
            <w:shd w:val="clear" w:color="auto" w:fill="auto"/>
            <w:noWrap/>
            <w:vAlign w:val="center"/>
            <w:hideMark/>
          </w:tcPr>
          <w:p w14:paraId="0DC33B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7 078</w:t>
            </w:r>
          </w:p>
        </w:tc>
        <w:tc>
          <w:tcPr>
            <w:tcW w:w="1277" w:type="dxa"/>
            <w:tcBorders>
              <w:top w:val="nil"/>
              <w:left w:val="nil"/>
              <w:bottom w:val="single" w:sz="4" w:space="0" w:color="000000"/>
              <w:right w:val="single" w:sz="4" w:space="0" w:color="000000"/>
            </w:tcBorders>
            <w:shd w:val="clear" w:color="auto" w:fill="auto"/>
            <w:noWrap/>
            <w:vAlign w:val="center"/>
            <w:hideMark/>
          </w:tcPr>
          <w:p w14:paraId="15BFFC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7 445</w:t>
            </w:r>
          </w:p>
        </w:tc>
        <w:tc>
          <w:tcPr>
            <w:tcW w:w="1276" w:type="dxa"/>
            <w:tcBorders>
              <w:top w:val="nil"/>
              <w:left w:val="nil"/>
              <w:bottom w:val="single" w:sz="4" w:space="0" w:color="000000"/>
              <w:right w:val="single" w:sz="4" w:space="0" w:color="000000"/>
            </w:tcBorders>
            <w:shd w:val="clear" w:color="auto" w:fill="auto"/>
            <w:noWrap/>
            <w:vAlign w:val="center"/>
            <w:hideMark/>
          </w:tcPr>
          <w:p w14:paraId="015473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7 945</w:t>
            </w:r>
          </w:p>
        </w:tc>
        <w:tc>
          <w:tcPr>
            <w:tcW w:w="1275" w:type="dxa"/>
            <w:tcBorders>
              <w:top w:val="nil"/>
              <w:left w:val="nil"/>
              <w:bottom w:val="single" w:sz="4" w:space="0" w:color="000000"/>
              <w:right w:val="single" w:sz="4" w:space="0" w:color="000000"/>
            </w:tcBorders>
            <w:shd w:val="clear" w:color="auto" w:fill="auto"/>
            <w:noWrap/>
            <w:vAlign w:val="center"/>
            <w:hideMark/>
          </w:tcPr>
          <w:p w14:paraId="1FE52D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8 445</w:t>
            </w:r>
          </w:p>
        </w:tc>
      </w:tr>
      <w:tr w:rsidR="00996507" w:rsidRPr="00996507" w14:paraId="2AAB111B"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74D7EF1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AFD33D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численность детей в возрасте 1-6 лет</w:t>
            </w:r>
          </w:p>
        </w:tc>
        <w:tc>
          <w:tcPr>
            <w:tcW w:w="1151" w:type="dxa"/>
            <w:tcBorders>
              <w:top w:val="nil"/>
              <w:left w:val="nil"/>
              <w:bottom w:val="single" w:sz="4" w:space="0" w:color="auto"/>
              <w:right w:val="single" w:sz="4" w:space="0" w:color="auto"/>
            </w:tcBorders>
            <w:shd w:val="clear" w:color="000000" w:fill="FFFFFF"/>
            <w:hideMark/>
          </w:tcPr>
          <w:p w14:paraId="7EBA357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8A0F95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9.2</w:t>
            </w:r>
          </w:p>
        </w:tc>
        <w:tc>
          <w:tcPr>
            <w:tcW w:w="1276" w:type="dxa"/>
            <w:tcBorders>
              <w:top w:val="nil"/>
              <w:left w:val="nil"/>
              <w:bottom w:val="single" w:sz="4" w:space="0" w:color="000000"/>
              <w:right w:val="single" w:sz="4" w:space="0" w:color="000000"/>
            </w:tcBorders>
            <w:shd w:val="clear" w:color="auto" w:fill="auto"/>
            <w:noWrap/>
            <w:vAlign w:val="center"/>
            <w:hideMark/>
          </w:tcPr>
          <w:p w14:paraId="6289FE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8 289</w:t>
            </w:r>
          </w:p>
        </w:tc>
        <w:tc>
          <w:tcPr>
            <w:tcW w:w="1275" w:type="dxa"/>
            <w:tcBorders>
              <w:top w:val="nil"/>
              <w:left w:val="nil"/>
              <w:bottom w:val="single" w:sz="4" w:space="0" w:color="000000"/>
              <w:right w:val="single" w:sz="4" w:space="0" w:color="000000"/>
            </w:tcBorders>
            <w:shd w:val="clear" w:color="auto" w:fill="auto"/>
            <w:noWrap/>
            <w:vAlign w:val="center"/>
            <w:hideMark/>
          </w:tcPr>
          <w:p w14:paraId="62E53B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8 813</w:t>
            </w:r>
          </w:p>
        </w:tc>
        <w:tc>
          <w:tcPr>
            <w:tcW w:w="1275" w:type="dxa"/>
            <w:tcBorders>
              <w:top w:val="nil"/>
              <w:left w:val="nil"/>
              <w:bottom w:val="single" w:sz="4" w:space="0" w:color="000000"/>
              <w:right w:val="single" w:sz="4" w:space="0" w:color="000000"/>
            </w:tcBorders>
            <w:shd w:val="clear" w:color="auto" w:fill="auto"/>
            <w:noWrap/>
            <w:vAlign w:val="center"/>
            <w:hideMark/>
          </w:tcPr>
          <w:p w14:paraId="0F1750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9 412</w:t>
            </w:r>
          </w:p>
        </w:tc>
        <w:tc>
          <w:tcPr>
            <w:tcW w:w="1277" w:type="dxa"/>
            <w:tcBorders>
              <w:top w:val="nil"/>
              <w:left w:val="nil"/>
              <w:bottom w:val="single" w:sz="4" w:space="0" w:color="000000"/>
              <w:right w:val="single" w:sz="4" w:space="0" w:color="000000"/>
            </w:tcBorders>
            <w:shd w:val="clear" w:color="auto" w:fill="auto"/>
            <w:noWrap/>
            <w:vAlign w:val="center"/>
            <w:hideMark/>
          </w:tcPr>
          <w:p w14:paraId="0C6E31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9 890</w:t>
            </w:r>
          </w:p>
        </w:tc>
        <w:tc>
          <w:tcPr>
            <w:tcW w:w="1276" w:type="dxa"/>
            <w:tcBorders>
              <w:top w:val="nil"/>
              <w:left w:val="nil"/>
              <w:bottom w:val="single" w:sz="4" w:space="0" w:color="000000"/>
              <w:right w:val="single" w:sz="4" w:space="0" w:color="000000"/>
            </w:tcBorders>
            <w:shd w:val="clear" w:color="auto" w:fill="auto"/>
            <w:noWrap/>
            <w:vAlign w:val="center"/>
            <w:hideMark/>
          </w:tcPr>
          <w:p w14:paraId="7A65CA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10 550</w:t>
            </w:r>
          </w:p>
        </w:tc>
        <w:tc>
          <w:tcPr>
            <w:tcW w:w="1275" w:type="dxa"/>
            <w:tcBorders>
              <w:top w:val="nil"/>
              <w:left w:val="nil"/>
              <w:bottom w:val="single" w:sz="4" w:space="0" w:color="000000"/>
              <w:right w:val="single" w:sz="4" w:space="0" w:color="000000"/>
            </w:tcBorders>
            <w:shd w:val="clear" w:color="auto" w:fill="auto"/>
            <w:noWrap/>
            <w:vAlign w:val="center"/>
            <w:hideMark/>
          </w:tcPr>
          <w:p w14:paraId="2E205D6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11 219</w:t>
            </w:r>
          </w:p>
        </w:tc>
      </w:tr>
      <w:tr w:rsidR="00996507" w:rsidRPr="00996507" w14:paraId="12D33CBB"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FBBFB7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9AC03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51" w:type="dxa"/>
            <w:tcBorders>
              <w:top w:val="nil"/>
              <w:left w:val="nil"/>
              <w:bottom w:val="single" w:sz="4" w:space="0" w:color="auto"/>
              <w:right w:val="single" w:sz="4" w:space="0" w:color="auto"/>
            </w:tcBorders>
            <w:shd w:val="clear" w:color="000000" w:fill="FFFFFF"/>
            <w:hideMark/>
          </w:tcPr>
          <w:p w14:paraId="071FEF1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F235A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000000"/>
              <w:right w:val="single" w:sz="4" w:space="0" w:color="000000"/>
            </w:tcBorders>
            <w:shd w:val="clear" w:color="000000" w:fill="C0C0C0"/>
            <w:noWrap/>
            <w:vAlign w:val="center"/>
            <w:hideMark/>
          </w:tcPr>
          <w:p w14:paraId="3A42C71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57,4</w:t>
            </w:r>
          </w:p>
        </w:tc>
        <w:tc>
          <w:tcPr>
            <w:tcW w:w="1275" w:type="dxa"/>
            <w:tcBorders>
              <w:top w:val="nil"/>
              <w:left w:val="nil"/>
              <w:bottom w:val="single" w:sz="4" w:space="0" w:color="000000"/>
              <w:right w:val="single" w:sz="4" w:space="0" w:color="000000"/>
            </w:tcBorders>
            <w:shd w:val="clear" w:color="000000" w:fill="C0C0C0"/>
            <w:noWrap/>
            <w:vAlign w:val="center"/>
            <w:hideMark/>
          </w:tcPr>
          <w:p w14:paraId="2EDCAE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39,9</w:t>
            </w:r>
          </w:p>
        </w:tc>
        <w:tc>
          <w:tcPr>
            <w:tcW w:w="1275" w:type="dxa"/>
            <w:tcBorders>
              <w:top w:val="nil"/>
              <w:left w:val="nil"/>
              <w:bottom w:val="single" w:sz="4" w:space="0" w:color="000000"/>
              <w:right w:val="single" w:sz="4" w:space="0" w:color="000000"/>
            </w:tcBorders>
            <w:shd w:val="clear" w:color="000000" w:fill="C0C0C0"/>
            <w:noWrap/>
            <w:vAlign w:val="center"/>
            <w:hideMark/>
          </w:tcPr>
          <w:p w14:paraId="632D81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13,0</w:t>
            </w:r>
          </w:p>
        </w:tc>
        <w:tc>
          <w:tcPr>
            <w:tcW w:w="1277" w:type="dxa"/>
            <w:tcBorders>
              <w:top w:val="nil"/>
              <w:left w:val="nil"/>
              <w:bottom w:val="single" w:sz="4" w:space="0" w:color="000000"/>
              <w:right w:val="single" w:sz="4" w:space="0" w:color="000000"/>
            </w:tcBorders>
            <w:shd w:val="clear" w:color="000000" w:fill="C0C0C0"/>
            <w:noWrap/>
            <w:vAlign w:val="center"/>
            <w:hideMark/>
          </w:tcPr>
          <w:p w14:paraId="63DFE2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12,4</w:t>
            </w:r>
          </w:p>
        </w:tc>
        <w:tc>
          <w:tcPr>
            <w:tcW w:w="1276" w:type="dxa"/>
            <w:tcBorders>
              <w:top w:val="nil"/>
              <w:left w:val="nil"/>
              <w:bottom w:val="single" w:sz="4" w:space="0" w:color="000000"/>
              <w:right w:val="single" w:sz="4" w:space="0" w:color="000000"/>
            </w:tcBorders>
            <w:shd w:val="clear" w:color="000000" w:fill="C0C0C0"/>
            <w:noWrap/>
            <w:vAlign w:val="center"/>
            <w:hideMark/>
          </w:tcPr>
          <w:p w14:paraId="1F043FA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11,5</w:t>
            </w:r>
          </w:p>
        </w:tc>
        <w:tc>
          <w:tcPr>
            <w:tcW w:w="1275" w:type="dxa"/>
            <w:tcBorders>
              <w:top w:val="nil"/>
              <w:left w:val="nil"/>
              <w:bottom w:val="single" w:sz="4" w:space="0" w:color="000000"/>
              <w:right w:val="single" w:sz="4" w:space="0" w:color="000000"/>
            </w:tcBorders>
            <w:shd w:val="clear" w:color="000000" w:fill="C0C0C0"/>
            <w:noWrap/>
            <w:vAlign w:val="center"/>
            <w:hideMark/>
          </w:tcPr>
          <w:p w14:paraId="010AB5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9,9</w:t>
            </w:r>
          </w:p>
        </w:tc>
      </w:tr>
      <w:tr w:rsidR="00996507" w:rsidRPr="00996507" w14:paraId="61C4AA9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CCD9C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0A81B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1-6 лет, состоящих на учете для определения в муниципальные дошкольные 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391EEF2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72CA2C7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10.1</w:t>
            </w:r>
          </w:p>
        </w:tc>
        <w:tc>
          <w:tcPr>
            <w:tcW w:w="1276" w:type="dxa"/>
            <w:tcBorders>
              <w:top w:val="nil"/>
              <w:left w:val="nil"/>
              <w:bottom w:val="single" w:sz="4" w:space="0" w:color="000000"/>
              <w:right w:val="single" w:sz="4" w:space="0" w:color="000000"/>
            </w:tcBorders>
            <w:shd w:val="clear" w:color="auto" w:fill="auto"/>
            <w:noWrap/>
            <w:vAlign w:val="center"/>
            <w:hideMark/>
          </w:tcPr>
          <w:p w14:paraId="5118EE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4 761</w:t>
            </w:r>
          </w:p>
        </w:tc>
        <w:tc>
          <w:tcPr>
            <w:tcW w:w="1275" w:type="dxa"/>
            <w:tcBorders>
              <w:top w:val="nil"/>
              <w:left w:val="nil"/>
              <w:bottom w:val="single" w:sz="4" w:space="0" w:color="000000"/>
              <w:right w:val="single" w:sz="4" w:space="0" w:color="000000"/>
            </w:tcBorders>
            <w:shd w:val="clear" w:color="auto" w:fill="auto"/>
            <w:noWrap/>
            <w:vAlign w:val="center"/>
            <w:hideMark/>
          </w:tcPr>
          <w:p w14:paraId="447CEF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3 519</w:t>
            </w:r>
          </w:p>
        </w:tc>
        <w:tc>
          <w:tcPr>
            <w:tcW w:w="1275" w:type="dxa"/>
            <w:tcBorders>
              <w:top w:val="nil"/>
              <w:left w:val="nil"/>
              <w:bottom w:val="single" w:sz="4" w:space="0" w:color="000000"/>
              <w:right w:val="single" w:sz="4" w:space="0" w:color="000000"/>
            </w:tcBorders>
            <w:shd w:val="clear" w:color="auto" w:fill="auto"/>
            <w:noWrap/>
            <w:vAlign w:val="center"/>
            <w:hideMark/>
          </w:tcPr>
          <w:p w14:paraId="07EF79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1 224</w:t>
            </w:r>
          </w:p>
        </w:tc>
        <w:tc>
          <w:tcPr>
            <w:tcW w:w="1277" w:type="dxa"/>
            <w:tcBorders>
              <w:top w:val="nil"/>
              <w:left w:val="nil"/>
              <w:bottom w:val="single" w:sz="4" w:space="0" w:color="000000"/>
              <w:right w:val="single" w:sz="4" w:space="0" w:color="000000"/>
            </w:tcBorders>
            <w:shd w:val="clear" w:color="auto" w:fill="auto"/>
            <w:noWrap/>
            <w:vAlign w:val="center"/>
            <w:hideMark/>
          </w:tcPr>
          <w:p w14:paraId="091C62E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1 224</w:t>
            </w:r>
          </w:p>
        </w:tc>
        <w:tc>
          <w:tcPr>
            <w:tcW w:w="1276" w:type="dxa"/>
            <w:tcBorders>
              <w:top w:val="nil"/>
              <w:left w:val="nil"/>
              <w:bottom w:val="single" w:sz="4" w:space="0" w:color="000000"/>
              <w:right w:val="single" w:sz="4" w:space="0" w:color="000000"/>
            </w:tcBorders>
            <w:shd w:val="clear" w:color="auto" w:fill="auto"/>
            <w:noWrap/>
            <w:vAlign w:val="center"/>
            <w:hideMark/>
          </w:tcPr>
          <w:p w14:paraId="210BFFF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1 215</w:t>
            </w:r>
          </w:p>
        </w:tc>
        <w:tc>
          <w:tcPr>
            <w:tcW w:w="1275" w:type="dxa"/>
            <w:tcBorders>
              <w:top w:val="nil"/>
              <w:left w:val="nil"/>
              <w:bottom w:val="single" w:sz="4" w:space="0" w:color="000000"/>
              <w:right w:val="single" w:sz="4" w:space="0" w:color="000000"/>
            </w:tcBorders>
            <w:shd w:val="clear" w:color="auto" w:fill="auto"/>
            <w:noWrap/>
            <w:vAlign w:val="center"/>
            <w:hideMark/>
          </w:tcPr>
          <w:p w14:paraId="646716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1 115</w:t>
            </w:r>
          </w:p>
        </w:tc>
      </w:tr>
      <w:tr w:rsidR="00996507" w:rsidRPr="00996507" w14:paraId="187733C6"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50D218F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7154E1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7762B5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0CD8F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000000"/>
              <w:right w:val="single" w:sz="4" w:space="0" w:color="000000"/>
            </w:tcBorders>
            <w:shd w:val="clear" w:color="000000" w:fill="C0C0C0"/>
            <w:noWrap/>
            <w:vAlign w:val="center"/>
            <w:hideMark/>
          </w:tcPr>
          <w:p w14:paraId="08FBDAD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1083E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5,6</w:t>
            </w:r>
          </w:p>
        </w:tc>
        <w:tc>
          <w:tcPr>
            <w:tcW w:w="1275" w:type="dxa"/>
            <w:tcBorders>
              <w:top w:val="nil"/>
              <w:left w:val="nil"/>
              <w:bottom w:val="single" w:sz="4" w:space="0" w:color="000000"/>
              <w:right w:val="single" w:sz="4" w:space="0" w:color="000000"/>
            </w:tcBorders>
            <w:shd w:val="clear" w:color="000000" w:fill="C0C0C0"/>
            <w:noWrap/>
            <w:vAlign w:val="center"/>
            <w:hideMark/>
          </w:tcPr>
          <w:p w14:paraId="745B5B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6FDAFFE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3F9935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73B8ED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1DE73714"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3009F9B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9BE941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муниципальных дошкольных 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6F43F45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D00CFF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11.1</w:t>
            </w:r>
          </w:p>
        </w:tc>
        <w:tc>
          <w:tcPr>
            <w:tcW w:w="1276" w:type="dxa"/>
            <w:tcBorders>
              <w:top w:val="nil"/>
              <w:left w:val="nil"/>
              <w:bottom w:val="single" w:sz="4" w:space="0" w:color="000000"/>
              <w:right w:val="single" w:sz="4" w:space="0" w:color="000000"/>
            </w:tcBorders>
            <w:shd w:val="clear" w:color="auto" w:fill="auto"/>
            <w:noWrap/>
            <w:vAlign w:val="center"/>
            <w:hideMark/>
          </w:tcPr>
          <w:p w14:paraId="43364E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21</w:t>
            </w:r>
          </w:p>
        </w:tc>
        <w:tc>
          <w:tcPr>
            <w:tcW w:w="1275" w:type="dxa"/>
            <w:tcBorders>
              <w:top w:val="nil"/>
              <w:left w:val="nil"/>
              <w:bottom w:val="single" w:sz="4" w:space="0" w:color="000000"/>
              <w:right w:val="single" w:sz="4" w:space="0" w:color="000000"/>
            </w:tcBorders>
            <w:shd w:val="clear" w:color="auto" w:fill="auto"/>
            <w:noWrap/>
            <w:vAlign w:val="center"/>
            <w:hideMark/>
          </w:tcPr>
          <w:p w14:paraId="157A11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w:t>
            </w:r>
          </w:p>
        </w:tc>
        <w:tc>
          <w:tcPr>
            <w:tcW w:w="1275" w:type="dxa"/>
            <w:tcBorders>
              <w:top w:val="nil"/>
              <w:left w:val="nil"/>
              <w:bottom w:val="single" w:sz="4" w:space="0" w:color="000000"/>
              <w:right w:val="single" w:sz="4" w:space="0" w:color="000000"/>
            </w:tcBorders>
            <w:shd w:val="clear" w:color="auto" w:fill="auto"/>
            <w:noWrap/>
            <w:vAlign w:val="center"/>
            <w:hideMark/>
          </w:tcPr>
          <w:p w14:paraId="06F0B0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w:t>
            </w:r>
          </w:p>
        </w:tc>
        <w:tc>
          <w:tcPr>
            <w:tcW w:w="1277" w:type="dxa"/>
            <w:tcBorders>
              <w:top w:val="nil"/>
              <w:left w:val="nil"/>
              <w:bottom w:val="single" w:sz="4" w:space="0" w:color="000000"/>
              <w:right w:val="single" w:sz="4" w:space="0" w:color="000000"/>
            </w:tcBorders>
            <w:shd w:val="clear" w:color="auto" w:fill="auto"/>
            <w:noWrap/>
            <w:vAlign w:val="center"/>
            <w:hideMark/>
          </w:tcPr>
          <w:p w14:paraId="5AA672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17</w:t>
            </w:r>
          </w:p>
        </w:tc>
        <w:tc>
          <w:tcPr>
            <w:tcW w:w="1276" w:type="dxa"/>
            <w:tcBorders>
              <w:top w:val="nil"/>
              <w:left w:val="nil"/>
              <w:bottom w:val="single" w:sz="4" w:space="0" w:color="000000"/>
              <w:right w:val="single" w:sz="4" w:space="0" w:color="000000"/>
            </w:tcBorders>
            <w:shd w:val="clear" w:color="auto" w:fill="auto"/>
            <w:noWrap/>
            <w:vAlign w:val="center"/>
            <w:hideMark/>
          </w:tcPr>
          <w:p w14:paraId="3E7403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w:t>
            </w:r>
          </w:p>
        </w:tc>
        <w:tc>
          <w:tcPr>
            <w:tcW w:w="1275" w:type="dxa"/>
            <w:tcBorders>
              <w:top w:val="nil"/>
              <w:left w:val="nil"/>
              <w:bottom w:val="single" w:sz="4" w:space="0" w:color="000000"/>
              <w:right w:val="single" w:sz="4" w:space="0" w:color="000000"/>
            </w:tcBorders>
            <w:shd w:val="clear" w:color="auto" w:fill="auto"/>
            <w:noWrap/>
            <w:vAlign w:val="center"/>
            <w:hideMark/>
          </w:tcPr>
          <w:p w14:paraId="03BDA8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w:t>
            </w:r>
          </w:p>
        </w:tc>
      </w:tr>
      <w:tr w:rsidR="00996507" w:rsidRPr="00996507" w14:paraId="65CE3CE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A38CC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0000F1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1D4E968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AF292D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11.2</w:t>
            </w:r>
          </w:p>
        </w:tc>
        <w:tc>
          <w:tcPr>
            <w:tcW w:w="1276" w:type="dxa"/>
            <w:tcBorders>
              <w:top w:val="nil"/>
              <w:left w:val="nil"/>
              <w:bottom w:val="single" w:sz="4" w:space="0" w:color="000000"/>
              <w:right w:val="single" w:sz="4" w:space="0" w:color="000000"/>
            </w:tcBorders>
            <w:shd w:val="clear" w:color="auto" w:fill="auto"/>
            <w:noWrap/>
            <w:vAlign w:val="center"/>
            <w:hideMark/>
          </w:tcPr>
          <w:p w14:paraId="76F80D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5359D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14D5FAA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6FFC80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4E8E6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5DC770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4F8F3A6A" w14:textId="77777777" w:rsidTr="00996507">
        <w:trPr>
          <w:trHeight w:val="1530"/>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3404289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lastRenderedPageBreak/>
              <w:t>Общее и дополнительное образование</w:t>
            </w:r>
          </w:p>
        </w:tc>
        <w:tc>
          <w:tcPr>
            <w:tcW w:w="4378" w:type="dxa"/>
            <w:tcBorders>
              <w:top w:val="nil"/>
              <w:left w:val="nil"/>
              <w:bottom w:val="single" w:sz="4" w:space="0" w:color="auto"/>
              <w:right w:val="single" w:sz="4" w:space="0" w:color="auto"/>
            </w:tcBorders>
            <w:shd w:val="clear" w:color="000000" w:fill="FFFFFF"/>
            <w:hideMark/>
          </w:tcPr>
          <w:p w14:paraId="1E95F03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792C38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077E9A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000000"/>
              <w:right w:val="single" w:sz="4" w:space="0" w:color="000000"/>
            </w:tcBorders>
            <w:shd w:val="clear" w:color="000000" w:fill="C0C0C0"/>
            <w:noWrap/>
            <w:vAlign w:val="center"/>
            <w:hideMark/>
          </w:tcPr>
          <w:p w14:paraId="034AF6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DF253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4889D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0,2</w:t>
            </w:r>
          </w:p>
        </w:tc>
        <w:tc>
          <w:tcPr>
            <w:tcW w:w="1277" w:type="dxa"/>
            <w:tcBorders>
              <w:top w:val="nil"/>
              <w:left w:val="nil"/>
              <w:bottom w:val="single" w:sz="4" w:space="0" w:color="000000"/>
              <w:right w:val="single" w:sz="4" w:space="0" w:color="000000"/>
            </w:tcBorders>
            <w:shd w:val="clear" w:color="000000" w:fill="C0C0C0"/>
            <w:noWrap/>
            <w:vAlign w:val="center"/>
            <w:hideMark/>
          </w:tcPr>
          <w:p w14:paraId="081E9C7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1965F4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7759EA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2F554D4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4C0C19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D053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выпускников муниципальных общеобразовательных учреждений, не получивших аттестат о среднем (полном) образовании</w:t>
            </w:r>
          </w:p>
        </w:tc>
        <w:tc>
          <w:tcPr>
            <w:tcW w:w="1151" w:type="dxa"/>
            <w:tcBorders>
              <w:top w:val="nil"/>
              <w:left w:val="nil"/>
              <w:bottom w:val="single" w:sz="4" w:space="0" w:color="auto"/>
              <w:right w:val="single" w:sz="4" w:space="0" w:color="auto"/>
            </w:tcBorders>
            <w:shd w:val="clear" w:color="000000" w:fill="FFFFFF"/>
            <w:hideMark/>
          </w:tcPr>
          <w:p w14:paraId="2032F45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5DD488D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13.1</w:t>
            </w:r>
          </w:p>
        </w:tc>
        <w:tc>
          <w:tcPr>
            <w:tcW w:w="1276" w:type="dxa"/>
            <w:tcBorders>
              <w:top w:val="nil"/>
              <w:left w:val="nil"/>
              <w:bottom w:val="single" w:sz="4" w:space="0" w:color="000000"/>
              <w:right w:val="single" w:sz="4" w:space="0" w:color="000000"/>
            </w:tcBorders>
            <w:shd w:val="clear" w:color="000000" w:fill="C0C0C0"/>
            <w:noWrap/>
            <w:vAlign w:val="center"/>
            <w:hideMark/>
          </w:tcPr>
          <w:p w14:paraId="3D938FA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000000" w:fill="C0C0C0"/>
            <w:noWrap/>
            <w:vAlign w:val="center"/>
            <w:hideMark/>
          </w:tcPr>
          <w:p w14:paraId="60F9EB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000000" w:fill="C0C0C0"/>
            <w:noWrap/>
            <w:vAlign w:val="center"/>
            <w:hideMark/>
          </w:tcPr>
          <w:p w14:paraId="6EC4E4A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000000" w:fill="C0C0C0"/>
            <w:noWrap/>
            <w:vAlign w:val="center"/>
            <w:hideMark/>
          </w:tcPr>
          <w:p w14:paraId="1285BC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000000" w:fill="C0C0C0"/>
            <w:noWrap/>
            <w:vAlign w:val="center"/>
            <w:hideMark/>
          </w:tcPr>
          <w:p w14:paraId="2FA808C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000000" w:fill="C0C0C0"/>
            <w:noWrap/>
            <w:vAlign w:val="center"/>
            <w:hideMark/>
          </w:tcPr>
          <w:p w14:paraId="5C65255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15F1B16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68331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206546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выпускного класса общеобразовательных учреждений, не получивших аттестат о среднем (полном) образовании</w:t>
            </w:r>
          </w:p>
        </w:tc>
        <w:tc>
          <w:tcPr>
            <w:tcW w:w="1151" w:type="dxa"/>
            <w:tcBorders>
              <w:top w:val="nil"/>
              <w:left w:val="nil"/>
              <w:bottom w:val="single" w:sz="4" w:space="0" w:color="auto"/>
              <w:right w:val="single" w:sz="4" w:space="0" w:color="auto"/>
            </w:tcBorders>
            <w:shd w:val="clear" w:color="000000" w:fill="FFFFFF"/>
            <w:hideMark/>
          </w:tcPr>
          <w:p w14:paraId="67DFA9C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A8165B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13.1.1</w:t>
            </w:r>
          </w:p>
        </w:tc>
        <w:tc>
          <w:tcPr>
            <w:tcW w:w="1276" w:type="dxa"/>
            <w:tcBorders>
              <w:top w:val="nil"/>
              <w:left w:val="nil"/>
              <w:bottom w:val="single" w:sz="4" w:space="0" w:color="000000"/>
              <w:right w:val="single" w:sz="4" w:space="0" w:color="000000"/>
            </w:tcBorders>
            <w:shd w:val="clear" w:color="auto" w:fill="auto"/>
            <w:noWrap/>
            <w:vAlign w:val="center"/>
            <w:hideMark/>
          </w:tcPr>
          <w:p w14:paraId="212865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5B819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2A8D6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422DC9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7186DAD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D86C2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12BC0D8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42EAC8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D9EA7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выпускного класса интернатных общеобразовательных учреждений, не получивших аттестат о среднем (полном) образовании</w:t>
            </w:r>
          </w:p>
        </w:tc>
        <w:tc>
          <w:tcPr>
            <w:tcW w:w="1151" w:type="dxa"/>
            <w:tcBorders>
              <w:top w:val="nil"/>
              <w:left w:val="nil"/>
              <w:bottom w:val="single" w:sz="4" w:space="0" w:color="auto"/>
              <w:right w:val="single" w:sz="4" w:space="0" w:color="auto"/>
            </w:tcBorders>
            <w:shd w:val="clear" w:color="000000" w:fill="FFFFFF"/>
            <w:hideMark/>
          </w:tcPr>
          <w:p w14:paraId="0A7A1FC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A22725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13.1.2</w:t>
            </w:r>
          </w:p>
        </w:tc>
        <w:tc>
          <w:tcPr>
            <w:tcW w:w="1276" w:type="dxa"/>
            <w:tcBorders>
              <w:top w:val="nil"/>
              <w:left w:val="nil"/>
              <w:bottom w:val="single" w:sz="4" w:space="0" w:color="000000"/>
              <w:right w:val="single" w:sz="4" w:space="0" w:color="000000"/>
            </w:tcBorders>
            <w:shd w:val="clear" w:color="auto" w:fill="auto"/>
            <w:noWrap/>
            <w:vAlign w:val="center"/>
            <w:hideMark/>
          </w:tcPr>
          <w:p w14:paraId="6688FA9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001AF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BA80A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8A04E9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08F2F0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B0751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005F53D5"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360A0E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D08BC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выпускников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1337D9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09D0C0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w:t>
            </w:r>
          </w:p>
        </w:tc>
        <w:tc>
          <w:tcPr>
            <w:tcW w:w="1276" w:type="dxa"/>
            <w:tcBorders>
              <w:top w:val="nil"/>
              <w:left w:val="nil"/>
              <w:bottom w:val="single" w:sz="4" w:space="0" w:color="000000"/>
              <w:right w:val="single" w:sz="4" w:space="0" w:color="000000"/>
            </w:tcBorders>
            <w:shd w:val="clear" w:color="000000" w:fill="C0C0C0"/>
            <w:noWrap/>
            <w:vAlign w:val="center"/>
            <w:hideMark/>
          </w:tcPr>
          <w:p w14:paraId="03E261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392</w:t>
            </w:r>
          </w:p>
        </w:tc>
        <w:tc>
          <w:tcPr>
            <w:tcW w:w="1275" w:type="dxa"/>
            <w:tcBorders>
              <w:top w:val="nil"/>
              <w:left w:val="nil"/>
              <w:bottom w:val="single" w:sz="4" w:space="0" w:color="000000"/>
              <w:right w:val="single" w:sz="4" w:space="0" w:color="000000"/>
            </w:tcBorders>
            <w:shd w:val="clear" w:color="000000" w:fill="C0C0C0"/>
            <w:noWrap/>
            <w:vAlign w:val="center"/>
            <w:hideMark/>
          </w:tcPr>
          <w:p w14:paraId="1EBB7FC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381</w:t>
            </w:r>
          </w:p>
        </w:tc>
        <w:tc>
          <w:tcPr>
            <w:tcW w:w="1275" w:type="dxa"/>
            <w:tcBorders>
              <w:top w:val="nil"/>
              <w:left w:val="nil"/>
              <w:bottom w:val="single" w:sz="4" w:space="0" w:color="000000"/>
              <w:right w:val="single" w:sz="4" w:space="0" w:color="000000"/>
            </w:tcBorders>
            <w:shd w:val="clear" w:color="000000" w:fill="C0C0C0"/>
            <w:noWrap/>
            <w:vAlign w:val="center"/>
            <w:hideMark/>
          </w:tcPr>
          <w:p w14:paraId="1A2176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407</w:t>
            </w:r>
          </w:p>
        </w:tc>
        <w:tc>
          <w:tcPr>
            <w:tcW w:w="1277" w:type="dxa"/>
            <w:tcBorders>
              <w:top w:val="nil"/>
              <w:left w:val="nil"/>
              <w:bottom w:val="single" w:sz="4" w:space="0" w:color="000000"/>
              <w:right w:val="single" w:sz="4" w:space="0" w:color="000000"/>
            </w:tcBorders>
            <w:shd w:val="clear" w:color="000000" w:fill="C0C0C0"/>
            <w:noWrap/>
            <w:vAlign w:val="center"/>
            <w:hideMark/>
          </w:tcPr>
          <w:p w14:paraId="10C2F6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455</w:t>
            </w:r>
          </w:p>
        </w:tc>
        <w:tc>
          <w:tcPr>
            <w:tcW w:w="1276" w:type="dxa"/>
            <w:tcBorders>
              <w:top w:val="nil"/>
              <w:left w:val="nil"/>
              <w:bottom w:val="single" w:sz="4" w:space="0" w:color="000000"/>
              <w:right w:val="single" w:sz="4" w:space="0" w:color="000000"/>
            </w:tcBorders>
            <w:shd w:val="clear" w:color="000000" w:fill="C0C0C0"/>
            <w:noWrap/>
            <w:vAlign w:val="center"/>
            <w:hideMark/>
          </w:tcPr>
          <w:p w14:paraId="2273B6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530</w:t>
            </w:r>
          </w:p>
        </w:tc>
        <w:tc>
          <w:tcPr>
            <w:tcW w:w="1275" w:type="dxa"/>
            <w:tcBorders>
              <w:top w:val="nil"/>
              <w:left w:val="nil"/>
              <w:bottom w:val="single" w:sz="4" w:space="0" w:color="000000"/>
              <w:right w:val="single" w:sz="4" w:space="0" w:color="000000"/>
            </w:tcBorders>
            <w:shd w:val="clear" w:color="000000" w:fill="C0C0C0"/>
            <w:noWrap/>
            <w:vAlign w:val="center"/>
            <w:hideMark/>
          </w:tcPr>
          <w:p w14:paraId="4C2346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r>
      <w:tr w:rsidR="00996507" w:rsidRPr="00996507" w14:paraId="688DD9A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641FB8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FF3AB6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окончившие 11 класс (окончили с аттестатом о среднем (полном) общем образовании), общеобразовательные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320298C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8AC03C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13.2.1</w:t>
            </w:r>
          </w:p>
        </w:tc>
        <w:tc>
          <w:tcPr>
            <w:tcW w:w="1276" w:type="dxa"/>
            <w:tcBorders>
              <w:top w:val="nil"/>
              <w:left w:val="nil"/>
              <w:bottom w:val="single" w:sz="4" w:space="0" w:color="000000"/>
              <w:right w:val="single" w:sz="4" w:space="0" w:color="000000"/>
            </w:tcBorders>
            <w:shd w:val="clear" w:color="auto" w:fill="auto"/>
            <w:noWrap/>
            <w:vAlign w:val="center"/>
            <w:hideMark/>
          </w:tcPr>
          <w:p w14:paraId="6A18C77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392</w:t>
            </w:r>
          </w:p>
        </w:tc>
        <w:tc>
          <w:tcPr>
            <w:tcW w:w="1275" w:type="dxa"/>
            <w:tcBorders>
              <w:top w:val="nil"/>
              <w:left w:val="nil"/>
              <w:bottom w:val="single" w:sz="4" w:space="0" w:color="000000"/>
              <w:right w:val="single" w:sz="4" w:space="0" w:color="000000"/>
            </w:tcBorders>
            <w:shd w:val="clear" w:color="auto" w:fill="auto"/>
            <w:noWrap/>
            <w:vAlign w:val="center"/>
            <w:hideMark/>
          </w:tcPr>
          <w:p w14:paraId="53A853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380</w:t>
            </w:r>
          </w:p>
        </w:tc>
        <w:tc>
          <w:tcPr>
            <w:tcW w:w="1275" w:type="dxa"/>
            <w:tcBorders>
              <w:top w:val="nil"/>
              <w:left w:val="nil"/>
              <w:bottom w:val="single" w:sz="4" w:space="0" w:color="000000"/>
              <w:right w:val="single" w:sz="4" w:space="0" w:color="000000"/>
            </w:tcBorders>
            <w:shd w:val="clear" w:color="auto" w:fill="auto"/>
            <w:noWrap/>
            <w:vAlign w:val="center"/>
            <w:hideMark/>
          </w:tcPr>
          <w:p w14:paraId="7B9575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407</w:t>
            </w:r>
          </w:p>
        </w:tc>
        <w:tc>
          <w:tcPr>
            <w:tcW w:w="1277" w:type="dxa"/>
            <w:tcBorders>
              <w:top w:val="nil"/>
              <w:left w:val="nil"/>
              <w:bottom w:val="single" w:sz="4" w:space="0" w:color="000000"/>
              <w:right w:val="single" w:sz="4" w:space="0" w:color="000000"/>
            </w:tcBorders>
            <w:shd w:val="clear" w:color="auto" w:fill="auto"/>
            <w:noWrap/>
            <w:vAlign w:val="center"/>
            <w:hideMark/>
          </w:tcPr>
          <w:p w14:paraId="2FD642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455</w:t>
            </w:r>
          </w:p>
        </w:tc>
        <w:tc>
          <w:tcPr>
            <w:tcW w:w="1276" w:type="dxa"/>
            <w:tcBorders>
              <w:top w:val="nil"/>
              <w:left w:val="nil"/>
              <w:bottom w:val="single" w:sz="4" w:space="0" w:color="000000"/>
              <w:right w:val="single" w:sz="4" w:space="0" w:color="000000"/>
            </w:tcBorders>
            <w:shd w:val="clear" w:color="auto" w:fill="auto"/>
            <w:noWrap/>
            <w:vAlign w:val="center"/>
            <w:hideMark/>
          </w:tcPr>
          <w:p w14:paraId="49B56B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530</w:t>
            </w:r>
          </w:p>
        </w:tc>
        <w:tc>
          <w:tcPr>
            <w:tcW w:w="1275" w:type="dxa"/>
            <w:tcBorders>
              <w:top w:val="nil"/>
              <w:left w:val="nil"/>
              <w:bottom w:val="single" w:sz="4" w:space="0" w:color="000000"/>
              <w:right w:val="single" w:sz="4" w:space="0" w:color="000000"/>
            </w:tcBorders>
            <w:shd w:val="clear" w:color="auto" w:fill="auto"/>
            <w:noWrap/>
            <w:vAlign w:val="center"/>
            <w:hideMark/>
          </w:tcPr>
          <w:p w14:paraId="4FD990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r>
      <w:tr w:rsidR="00996507" w:rsidRPr="00996507" w14:paraId="45E33A36"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4E30C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56AD14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окончившие 12 класс, общеобразовательные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5DEB1E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FF57E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13.2.2</w:t>
            </w:r>
          </w:p>
        </w:tc>
        <w:tc>
          <w:tcPr>
            <w:tcW w:w="1276" w:type="dxa"/>
            <w:tcBorders>
              <w:top w:val="nil"/>
              <w:left w:val="nil"/>
              <w:bottom w:val="single" w:sz="4" w:space="0" w:color="000000"/>
              <w:right w:val="single" w:sz="4" w:space="0" w:color="000000"/>
            </w:tcBorders>
            <w:shd w:val="clear" w:color="auto" w:fill="auto"/>
            <w:noWrap/>
            <w:vAlign w:val="center"/>
            <w:hideMark/>
          </w:tcPr>
          <w:p w14:paraId="27FB617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1D7A2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87445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1FAC535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10534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FC579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F3224B5"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393CFD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3D75B6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выдержавших экзамены экстерном за курс средней школы и получивших аттестат о среднем (полном) общем образовании, в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27D9F76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FF3F4D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13.2.3</w:t>
            </w:r>
          </w:p>
        </w:tc>
        <w:tc>
          <w:tcPr>
            <w:tcW w:w="1276" w:type="dxa"/>
            <w:tcBorders>
              <w:top w:val="nil"/>
              <w:left w:val="nil"/>
              <w:bottom w:val="single" w:sz="4" w:space="0" w:color="000000"/>
              <w:right w:val="single" w:sz="4" w:space="0" w:color="000000"/>
            </w:tcBorders>
            <w:shd w:val="clear" w:color="auto" w:fill="auto"/>
            <w:noWrap/>
            <w:vAlign w:val="center"/>
            <w:hideMark/>
          </w:tcPr>
          <w:p w14:paraId="7D05BE1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0596EB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1F922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DAF13F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09D28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835B3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805A54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1B71D1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8E4572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окончившие 11 класс (окончили с аттестатом о среднем (полном) общем образовании), интернатные общеобразовательные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3AEF109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05C198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13.2.4</w:t>
            </w:r>
          </w:p>
        </w:tc>
        <w:tc>
          <w:tcPr>
            <w:tcW w:w="1276" w:type="dxa"/>
            <w:tcBorders>
              <w:top w:val="nil"/>
              <w:left w:val="nil"/>
              <w:bottom w:val="single" w:sz="4" w:space="0" w:color="000000"/>
              <w:right w:val="single" w:sz="4" w:space="0" w:color="000000"/>
            </w:tcBorders>
            <w:shd w:val="clear" w:color="auto" w:fill="auto"/>
            <w:noWrap/>
            <w:vAlign w:val="center"/>
            <w:hideMark/>
          </w:tcPr>
          <w:p w14:paraId="684CB5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1CF44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77E4A7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72FAED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1F67CC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C10B5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75BE6773"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6BA3410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102A36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окончившие 12 класс, интернатные общеобразовательные школы-интернаты</w:t>
            </w:r>
          </w:p>
        </w:tc>
        <w:tc>
          <w:tcPr>
            <w:tcW w:w="1151" w:type="dxa"/>
            <w:tcBorders>
              <w:top w:val="nil"/>
              <w:left w:val="nil"/>
              <w:bottom w:val="single" w:sz="4" w:space="0" w:color="auto"/>
              <w:right w:val="single" w:sz="4" w:space="0" w:color="auto"/>
            </w:tcBorders>
            <w:shd w:val="clear" w:color="000000" w:fill="FFFFFF"/>
            <w:hideMark/>
          </w:tcPr>
          <w:p w14:paraId="0D4281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B5DAE3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13.2.5</w:t>
            </w:r>
          </w:p>
        </w:tc>
        <w:tc>
          <w:tcPr>
            <w:tcW w:w="1276" w:type="dxa"/>
            <w:tcBorders>
              <w:top w:val="nil"/>
              <w:left w:val="nil"/>
              <w:bottom w:val="single" w:sz="4" w:space="0" w:color="000000"/>
              <w:right w:val="single" w:sz="4" w:space="0" w:color="000000"/>
            </w:tcBorders>
            <w:shd w:val="clear" w:color="auto" w:fill="auto"/>
            <w:noWrap/>
            <w:vAlign w:val="center"/>
            <w:hideMark/>
          </w:tcPr>
          <w:p w14:paraId="63F102F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00BA42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9A577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6BF8D6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43BE3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89420E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259BA956"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4938F7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F325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выдержавших экзамены экстерном за курс средней школы и получивших аттестат о среднем (полном) общем образовании, в интернатных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49F3F52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F10A0B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13.2.6</w:t>
            </w:r>
          </w:p>
        </w:tc>
        <w:tc>
          <w:tcPr>
            <w:tcW w:w="1276" w:type="dxa"/>
            <w:tcBorders>
              <w:top w:val="nil"/>
              <w:left w:val="nil"/>
              <w:bottom w:val="single" w:sz="4" w:space="0" w:color="000000"/>
              <w:right w:val="single" w:sz="4" w:space="0" w:color="000000"/>
            </w:tcBorders>
            <w:shd w:val="clear" w:color="auto" w:fill="auto"/>
            <w:noWrap/>
            <w:vAlign w:val="center"/>
            <w:hideMark/>
          </w:tcPr>
          <w:p w14:paraId="2BF2C4F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B7AA6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B43D9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4EEFB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5F2B60A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E28FD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AC665D2"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5FBC02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AA608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5EA6C72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F33373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000000"/>
              <w:right w:val="single" w:sz="4" w:space="0" w:color="000000"/>
            </w:tcBorders>
            <w:shd w:val="clear" w:color="auto" w:fill="auto"/>
            <w:noWrap/>
            <w:vAlign w:val="center"/>
            <w:hideMark/>
          </w:tcPr>
          <w:p w14:paraId="2ADA82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89,3</w:t>
            </w:r>
          </w:p>
        </w:tc>
        <w:tc>
          <w:tcPr>
            <w:tcW w:w="1275" w:type="dxa"/>
            <w:tcBorders>
              <w:top w:val="nil"/>
              <w:left w:val="nil"/>
              <w:bottom w:val="single" w:sz="4" w:space="0" w:color="000000"/>
              <w:right w:val="single" w:sz="4" w:space="0" w:color="000000"/>
            </w:tcBorders>
            <w:shd w:val="clear" w:color="auto" w:fill="auto"/>
            <w:noWrap/>
            <w:vAlign w:val="center"/>
            <w:hideMark/>
          </w:tcPr>
          <w:p w14:paraId="1BDD12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89,6</w:t>
            </w:r>
          </w:p>
        </w:tc>
        <w:tc>
          <w:tcPr>
            <w:tcW w:w="1275" w:type="dxa"/>
            <w:tcBorders>
              <w:top w:val="nil"/>
              <w:left w:val="nil"/>
              <w:bottom w:val="single" w:sz="4" w:space="0" w:color="000000"/>
              <w:right w:val="single" w:sz="4" w:space="0" w:color="000000"/>
            </w:tcBorders>
            <w:shd w:val="clear" w:color="auto" w:fill="auto"/>
            <w:noWrap/>
            <w:vAlign w:val="center"/>
            <w:hideMark/>
          </w:tcPr>
          <w:p w14:paraId="0B1B2A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7" w:type="dxa"/>
            <w:tcBorders>
              <w:top w:val="nil"/>
              <w:left w:val="nil"/>
              <w:bottom w:val="single" w:sz="4" w:space="0" w:color="000000"/>
              <w:right w:val="single" w:sz="4" w:space="0" w:color="000000"/>
            </w:tcBorders>
            <w:shd w:val="clear" w:color="auto" w:fill="auto"/>
            <w:noWrap/>
            <w:vAlign w:val="center"/>
            <w:hideMark/>
          </w:tcPr>
          <w:p w14:paraId="2C2E59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6" w:type="dxa"/>
            <w:tcBorders>
              <w:top w:val="nil"/>
              <w:left w:val="nil"/>
              <w:bottom w:val="single" w:sz="4" w:space="0" w:color="000000"/>
              <w:right w:val="single" w:sz="4" w:space="0" w:color="000000"/>
            </w:tcBorders>
            <w:shd w:val="clear" w:color="auto" w:fill="auto"/>
            <w:noWrap/>
            <w:vAlign w:val="center"/>
            <w:hideMark/>
          </w:tcPr>
          <w:p w14:paraId="091ABA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auto" w:fill="auto"/>
            <w:noWrap/>
            <w:vAlign w:val="center"/>
            <w:hideMark/>
          </w:tcPr>
          <w:p w14:paraId="616495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r>
      <w:tr w:rsidR="00996507" w:rsidRPr="00996507" w14:paraId="37E43011"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583D0B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8F2AC0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50BF1C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EB27A2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000000"/>
              <w:right w:val="single" w:sz="4" w:space="0" w:color="000000"/>
            </w:tcBorders>
            <w:shd w:val="clear" w:color="000000" w:fill="C0C0C0"/>
            <w:noWrap/>
            <w:vAlign w:val="center"/>
            <w:hideMark/>
          </w:tcPr>
          <w:p w14:paraId="3005345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2B59EF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CA0F7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6653F26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3D8803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5F4B58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3DDA2FE6"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4814CEF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154F54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государственных (муниципальных) образовательных учреждений, реализующих программы общего образования расположенных в городских поселениях, находящихся в аварийном состоянии</w:t>
            </w:r>
          </w:p>
        </w:tc>
        <w:tc>
          <w:tcPr>
            <w:tcW w:w="1151" w:type="dxa"/>
            <w:tcBorders>
              <w:top w:val="nil"/>
              <w:left w:val="nil"/>
              <w:bottom w:val="single" w:sz="4" w:space="0" w:color="auto"/>
              <w:right w:val="single" w:sz="4" w:space="0" w:color="auto"/>
            </w:tcBorders>
            <w:shd w:val="clear" w:color="000000" w:fill="FFFFFF"/>
            <w:hideMark/>
          </w:tcPr>
          <w:p w14:paraId="1352A84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50F16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15.1</w:t>
            </w:r>
          </w:p>
        </w:tc>
        <w:tc>
          <w:tcPr>
            <w:tcW w:w="1276" w:type="dxa"/>
            <w:tcBorders>
              <w:top w:val="nil"/>
              <w:left w:val="nil"/>
              <w:bottom w:val="single" w:sz="4" w:space="0" w:color="000000"/>
              <w:right w:val="single" w:sz="4" w:space="0" w:color="000000"/>
            </w:tcBorders>
            <w:shd w:val="clear" w:color="auto" w:fill="auto"/>
            <w:noWrap/>
            <w:vAlign w:val="center"/>
            <w:hideMark/>
          </w:tcPr>
          <w:p w14:paraId="0EE38F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AFC75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234A0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7EF78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9005B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DD41FF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3F6DDD2F"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766C721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96250B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государственных (муниципальных) образовательных учреждений, реализующих программы общего образования расположенных в сельской местности, находящихся в аварийном состоянии</w:t>
            </w:r>
          </w:p>
        </w:tc>
        <w:tc>
          <w:tcPr>
            <w:tcW w:w="1151" w:type="dxa"/>
            <w:tcBorders>
              <w:top w:val="nil"/>
              <w:left w:val="nil"/>
              <w:bottom w:val="single" w:sz="4" w:space="0" w:color="auto"/>
              <w:right w:val="single" w:sz="4" w:space="0" w:color="auto"/>
            </w:tcBorders>
            <w:shd w:val="clear" w:color="000000" w:fill="FFFFFF"/>
            <w:hideMark/>
          </w:tcPr>
          <w:p w14:paraId="0BBEA33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B894E8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15.2</w:t>
            </w:r>
          </w:p>
        </w:tc>
        <w:tc>
          <w:tcPr>
            <w:tcW w:w="1276" w:type="dxa"/>
            <w:tcBorders>
              <w:top w:val="nil"/>
              <w:left w:val="nil"/>
              <w:bottom w:val="single" w:sz="4" w:space="0" w:color="000000"/>
              <w:right w:val="single" w:sz="4" w:space="0" w:color="000000"/>
            </w:tcBorders>
            <w:shd w:val="clear" w:color="auto" w:fill="auto"/>
            <w:noWrap/>
            <w:vAlign w:val="center"/>
            <w:hideMark/>
          </w:tcPr>
          <w:p w14:paraId="4D97469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F7B369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4EA19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53EA74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648525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2ED29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17D9BE4"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74CB327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25C93C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государственных (муниципальных) образовательных учреждений, реализующих программы общего образования расположенных в городских поселениях, здания которых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249E970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313ED6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15.3</w:t>
            </w:r>
          </w:p>
        </w:tc>
        <w:tc>
          <w:tcPr>
            <w:tcW w:w="1276" w:type="dxa"/>
            <w:tcBorders>
              <w:top w:val="nil"/>
              <w:left w:val="nil"/>
              <w:bottom w:val="single" w:sz="4" w:space="0" w:color="000000"/>
              <w:right w:val="single" w:sz="4" w:space="0" w:color="000000"/>
            </w:tcBorders>
            <w:shd w:val="clear" w:color="auto" w:fill="auto"/>
            <w:noWrap/>
            <w:vAlign w:val="center"/>
            <w:hideMark/>
          </w:tcPr>
          <w:p w14:paraId="5E87AC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5E3903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62024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A2F08B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696DE6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834ED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0CF58215"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AD261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3E6018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государственных (муниципальных) образовательных учреждений, реализующих программы общего образования расположенных в сельской местности, здания которых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09D4F17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93FDA7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15.4</w:t>
            </w:r>
          </w:p>
        </w:tc>
        <w:tc>
          <w:tcPr>
            <w:tcW w:w="1276" w:type="dxa"/>
            <w:tcBorders>
              <w:top w:val="nil"/>
              <w:left w:val="nil"/>
              <w:bottom w:val="single" w:sz="4" w:space="0" w:color="000000"/>
              <w:right w:val="single" w:sz="4" w:space="0" w:color="000000"/>
            </w:tcBorders>
            <w:shd w:val="clear" w:color="auto" w:fill="auto"/>
            <w:noWrap/>
            <w:vAlign w:val="center"/>
            <w:hideMark/>
          </w:tcPr>
          <w:p w14:paraId="31ABD8B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8A609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4C63F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48865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FAE3E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AA37C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4180EB7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18C192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6AE9A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государственных (муниципальных) образовательных учреждений, реализующих программы общего образования расположенных в городских поселениях</w:t>
            </w:r>
          </w:p>
        </w:tc>
        <w:tc>
          <w:tcPr>
            <w:tcW w:w="1151" w:type="dxa"/>
            <w:tcBorders>
              <w:top w:val="nil"/>
              <w:left w:val="nil"/>
              <w:bottom w:val="single" w:sz="4" w:space="0" w:color="auto"/>
              <w:right w:val="single" w:sz="4" w:space="0" w:color="auto"/>
            </w:tcBorders>
            <w:shd w:val="clear" w:color="000000" w:fill="FFFFFF"/>
            <w:hideMark/>
          </w:tcPr>
          <w:p w14:paraId="6356FD3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B3D138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15.5</w:t>
            </w:r>
          </w:p>
        </w:tc>
        <w:tc>
          <w:tcPr>
            <w:tcW w:w="1276" w:type="dxa"/>
            <w:tcBorders>
              <w:top w:val="nil"/>
              <w:left w:val="nil"/>
              <w:bottom w:val="single" w:sz="4" w:space="0" w:color="000000"/>
              <w:right w:val="single" w:sz="4" w:space="0" w:color="000000"/>
            </w:tcBorders>
            <w:shd w:val="clear" w:color="auto" w:fill="auto"/>
            <w:noWrap/>
            <w:vAlign w:val="center"/>
            <w:hideMark/>
          </w:tcPr>
          <w:p w14:paraId="1123E9A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29C6A46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449EA2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w:t>
            </w:r>
          </w:p>
        </w:tc>
        <w:tc>
          <w:tcPr>
            <w:tcW w:w="1277" w:type="dxa"/>
            <w:tcBorders>
              <w:top w:val="nil"/>
              <w:left w:val="nil"/>
              <w:bottom w:val="single" w:sz="4" w:space="0" w:color="000000"/>
              <w:right w:val="single" w:sz="4" w:space="0" w:color="000000"/>
            </w:tcBorders>
            <w:shd w:val="clear" w:color="auto" w:fill="auto"/>
            <w:noWrap/>
            <w:vAlign w:val="center"/>
            <w:hideMark/>
          </w:tcPr>
          <w:p w14:paraId="14C8CA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6" w:type="dxa"/>
            <w:tcBorders>
              <w:top w:val="nil"/>
              <w:left w:val="nil"/>
              <w:bottom w:val="single" w:sz="4" w:space="0" w:color="000000"/>
              <w:right w:val="single" w:sz="4" w:space="0" w:color="000000"/>
            </w:tcBorders>
            <w:shd w:val="clear" w:color="auto" w:fill="auto"/>
            <w:noWrap/>
            <w:vAlign w:val="center"/>
            <w:hideMark/>
          </w:tcPr>
          <w:p w14:paraId="760946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5CD063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r>
      <w:tr w:rsidR="00996507" w:rsidRPr="00996507" w14:paraId="27A93BF4"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9D6C1D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ED683F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государственных (муниципальных) образовательных учреждений, реализующих программы общего образования расположенных в сельской местности</w:t>
            </w:r>
          </w:p>
        </w:tc>
        <w:tc>
          <w:tcPr>
            <w:tcW w:w="1151" w:type="dxa"/>
            <w:tcBorders>
              <w:top w:val="nil"/>
              <w:left w:val="nil"/>
              <w:bottom w:val="single" w:sz="4" w:space="0" w:color="auto"/>
              <w:right w:val="single" w:sz="4" w:space="0" w:color="auto"/>
            </w:tcBorders>
            <w:shd w:val="clear" w:color="000000" w:fill="FFFFFF"/>
            <w:hideMark/>
          </w:tcPr>
          <w:p w14:paraId="569132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B53286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15.6</w:t>
            </w:r>
          </w:p>
        </w:tc>
        <w:tc>
          <w:tcPr>
            <w:tcW w:w="1276" w:type="dxa"/>
            <w:tcBorders>
              <w:top w:val="nil"/>
              <w:left w:val="nil"/>
              <w:bottom w:val="single" w:sz="4" w:space="0" w:color="000000"/>
              <w:right w:val="single" w:sz="4" w:space="0" w:color="000000"/>
            </w:tcBorders>
            <w:shd w:val="clear" w:color="auto" w:fill="auto"/>
            <w:noWrap/>
            <w:vAlign w:val="center"/>
            <w:hideMark/>
          </w:tcPr>
          <w:p w14:paraId="604147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36530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BF7BA8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9BC5D6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1A5842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7050B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3D3B44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26DDA1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B54145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139C6C9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2FE14B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000000"/>
              <w:right w:val="single" w:sz="4" w:space="0" w:color="000000"/>
            </w:tcBorders>
            <w:shd w:val="clear" w:color="auto" w:fill="auto"/>
            <w:noWrap/>
            <w:vAlign w:val="center"/>
            <w:hideMark/>
          </w:tcPr>
          <w:p w14:paraId="186CF3F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90,4</w:t>
            </w:r>
          </w:p>
        </w:tc>
        <w:tc>
          <w:tcPr>
            <w:tcW w:w="1275" w:type="dxa"/>
            <w:tcBorders>
              <w:top w:val="nil"/>
              <w:left w:val="nil"/>
              <w:bottom w:val="single" w:sz="4" w:space="0" w:color="000000"/>
              <w:right w:val="single" w:sz="4" w:space="0" w:color="000000"/>
            </w:tcBorders>
            <w:shd w:val="clear" w:color="auto" w:fill="auto"/>
            <w:noWrap/>
            <w:vAlign w:val="center"/>
            <w:hideMark/>
          </w:tcPr>
          <w:p w14:paraId="26D721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88,8</w:t>
            </w:r>
          </w:p>
        </w:tc>
        <w:tc>
          <w:tcPr>
            <w:tcW w:w="1275" w:type="dxa"/>
            <w:tcBorders>
              <w:top w:val="nil"/>
              <w:left w:val="nil"/>
              <w:bottom w:val="single" w:sz="4" w:space="0" w:color="000000"/>
              <w:right w:val="single" w:sz="4" w:space="0" w:color="000000"/>
            </w:tcBorders>
            <w:shd w:val="clear" w:color="auto" w:fill="auto"/>
            <w:noWrap/>
            <w:vAlign w:val="center"/>
            <w:hideMark/>
          </w:tcPr>
          <w:p w14:paraId="261A86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90,8</w:t>
            </w:r>
          </w:p>
        </w:tc>
        <w:tc>
          <w:tcPr>
            <w:tcW w:w="1277" w:type="dxa"/>
            <w:tcBorders>
              <w:top w:val="nil"/>
              <w:left w:val="nil"/>
              <w:bottom w:val="single" w:sz="4" w:space="0" w:color="000000"/>
              <w:right w:val="single" w:sz="4" w:space="0" w:color="000000"/>
            </w:tcBorders>
            <w:shd w:val="clear" w:color="auto" w:fill="auto"/>
            <w:noWrap/>
            <w:vAlign w:val="center"/>
            <w:hideMark/>
          </w:tcPr>
          <w:p w14:paraId="62AE38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92,0</w:t>
            </w:r>
          </w:p>
        </w:tc>
        <w:tc>
          <w:tcPr>
            <w:tcW w:w="1276" w:type="dxa"/>
            <w:tcBorders>
              <w:top w:val="nil"/>
              <w:left w:val="nil"/>
              <w:bottom w:val="single" w:sz="4" w:space="0" w:color="000000"/>
              <w:right w:val="single" w:sz="4" w:space="0" w:color="000000"/>
            </w:tcBorders>
            <w:shd w:val="clear" w:color="auto" w:fill="auto"/>
            <w:noWrap/>
            <w:vAlign w:val="center"/>
            <w:hideMark/>
          </w:tcPr>
          <w:p w14:paraId="50B0C4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92,0</w:t>
            </w:r>
          </w:p>
        </w:tc>
        <w:tc>
          <w:tcPr>
            <w:tcW w:w="1275" w:type="dxa"/>
            <w:tcBorders>
              <w:top w:val="nil"/>
              <w:left w:val="nil"/>
              <w:bottom w:val="single" w:sz="4" w:space="0" w:color="000000"/>
              <w:right w:val="single" w:sz="4" w:space="0" w:color="000000"/>
            </w:tcBorders>
            <w:shd w:val="clear" w:color="auto" w:fill="auto"/>
            <w:noWrap/>
            <w:vAlign w:val="center"/>
            <w:hideMark/>
          </w:tcPr>
          <w:p w14:paraId="285EB1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92,0</w:t>
            </w:r>
          </w:p>
        </w:tc>
      </w:tr>
      <w:tr w:rsidR="00996507" w:rsidRPr="00996507" w14:paraId="495B32B2"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7BB7237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BD85DC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7691809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6FE112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w:t>
            </w:r>
          </w:p>
        </w:tc>
        <w:tc>
          <w:tcPr>
            <w:tcW w:w="1276" w:type="dxa"/>
            <w:tcBorders>
              <w:top w:val="nil"/>
              <w:left w:val="nil"/>
              <w:bottom w:val="single" w:sz="4" w:space="0" w:color="000000"/>
              <w:right w:val="single" w:sz="4" w:space="0" w:color="000000"/>
            </w:tcBorders>
            <w:shd w:val="clear" w:color="000000" w:fill="C0C0C0"/>
            <w:noWrap/>
            <w:vAlign w:val="center"/>
            <w:hideMark/>
          </w:tcPr>
          <w:p w14:paraId="1BE4837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42,9</w:t>
            </w:r>
          </w:p>
        </w:tc>
        <w:tc>
          <w:tcPr>
            <w:tcW w:w="1275" w:type="dxa"/>
            <w:tcBorders>
              <w:top w:val="nil"/>
              <w:left w:val="nil"/>
              <w:bottom w:val="single" w:sz="4" w:space="0" w:color="000000"/>
              <w:right w:val="single" w:sz="4" w:space="0" w:color="000000"/>
            </w:tcBorders>
            <w:shd w:val="clear" w:color="000000" w:fill="C0C0C0"/>
            <w:noWrap/>
            <w:vAlign w:val="center"/>
            <w:hideMark/>
          </w:tcPr>
          <w:p w14:paraId="28937F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46,4</w:t>
            </w:r>
          </w:p>
        </w:tc>
        <w:tc>
          <w:tcPr>
            <w:tcW w:w="1275" w:type="dxa"/>
            <w:tcBorders>
              <w:top w:val="nil"/>
              <w:left w:val="nil"/>
              <w:bottom w:val="single" w:sz="4" w:space="0" w:color="000000"/>
              <w:right w:val="single" w:sz="4" w:space="0" w:color="000000"/>
            </w:tcBorders>
            <w:shd w:val="clear" w:color="000000" w:fill="C0C0C0"/>
            <w:noWrap/>
            <w:vAlign w:val="center"/>
            <w:hideMark/>
          </w:tcPr>
          <w:p w14:paraId="3D8CA90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45,7</w:t>
            </w:r>
          </w:p>
        </w:tc>
        <w:tc>
          <w:tcPr>
            <w:tcW w:w="1277" w:type="dxa"/>
            <w:tcBorders>
              <w:top w:val="nil"/>
              <w:left w:val="nil"/>
              <w:bottom w:val="single" w:sz="4" w:space="0" w:color="000000"/>
              <w:right w:val="single" w:sz="4" w:space="0" w:color="000000"/>
            </w:tcBorders>
            <w:shd w:val="clear" w:color="000000" w:fill="C0C0C0"/>
            <w:noWrap/>
            <w:vAlign w:val="center"/>
            <w:hideMark/>
          </w:tcPr>
          <w:p w14:paraId="583E4ED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46,0</w:t>
            </w:r>
          </w:p>
        </w:tc>
        <w:tc>
          <w:tcPr>
            <w:tcW w:w="1276" w:type="dxa"/>
            <w:tcBorders>
              <w:top w:val="nil"/>
              <w:left w:val="nil"/>
              <w:bottom w:val="single" w:sz="4" w:space="0" w:color="000000"/>
              <w:right w:val="single" w:sz="4" w:space="0" w:color="000000"/>
            </w:tcBorders>
            <w:shd w:val="clear" w:color="000000" w:fill="C0C0C0"/>
            <w:noWrap/>
            <w:vAlign w:val="center"/>
            <w:hideMark/>
          </w:tcPr>
          <w:p w14:paraId="6964206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46,0</w:t>
            </w:r>
          </w:p>
        </w:tc>
        <w:tc>
          <w:tcPr>
            <w:tcW w:w="1275" w:type="dxa"/>
            <w:tcBorders>
              <w:top w:val="nil"/>
              <w:left w:val="nil"/>
              <w:bottom w:val="single" w:sz="4" w:space="0" w:color="000000"/>
              <w:right w:val="single" w:sz="4" w:space="0" w:color="000000"/>
            </w:tcBorders>
            <w:shd w:val="clear" w:color="000000" w:fill="C0C0C0"/>
            <w:noWrap/>
            <w:vAlign w:val="center"/>
            <w:hideMark/>
          </w:tcPr>
          <w:p w14:paraId="413C82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46,0</w:t>
            </w:r>
          </w:p>
        </w:tc>
      </w:tr>
      <w:tr w:rsidR="00996507" w:rsidRPr="00996507" w14:paraId="2A34E4EE"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AB4A6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F65C7B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занимающихся во вторую смену</w:t>
            </w:r>
          </w:p>
        </w:tc>
        <w:tc>
          <w:tcPr>
            <w:tcW w:w="1151" w:type="dxa"/>
            <w:tcBorders>
              <w:top w:val="nil"/>
              <w:left w:val="nil"/>
              <w:bottom w:val="single" w:sz="4" w:space="0" w:color="auto"/>
              <w:right w:val="single" w:sz="4" w:space="0" w:color="auto"/>
            </w:tcBorders>
            <w:shd w:val="clear" w:color="000000" w:fill="FFFFFF"/>
            <w:hideMark/>
          </w:tcPr>
          <w:p w14:paraId="4EAC5BB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546CB2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17.1</w:t>
            </w:r>
          </w:p>
        </w:tc>
        <w:tc>
          <w:tcPr>
            <w:tcW w:w="1276" w:type="dxa"/>
            <w:tcBorders>
              <w:top w:val="nil"/>
              <w:left w:val="nil"/>
              <w:bottom w:val="single" w:sz="4" w:space="0" w:color="000000"/>
              <w:right w:val="single" w:sz="4" w:space="0" w:color="000000"/>
            </w:tcBorders>
            <w:shd w:val="clear" w:color="auto" w:fill="auto"/>
            <w:noWrap/>
            <w:vAlign w:val="center"/>
            <w:hideMark/>
          </w:tcPr>
          <w:p w14:paraId="47EC6A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4 555</w:t>
            </w:r>
          </w:p>
        </w:tc>
        <w:tc>
          <w:tcPr>
            <w:tcW w:w="1275" w:type="dxa"/>
            <w:tcBorders>
              <w:top w:val="nil"/>
              <w:left w:val="nil"/>
              <w:bottom w:val="single" w:sz="4" w:space="0" w:color="000000"/>
              <w:right w:val="single" w:sz="4" w:space="0" w:color="000000"/>
            </w:tcBorders>
            <w:shd w:val="clear" w:color="auto" w:fill="auto"/>
            <w:noWrap/>
            <w:vAlign w:val="center"/>
            <w:hideMark/>
          </w:tcPr>
          <w:p w14:paraId="53CF55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5 115</w:t>
            </w:r>
          </w:p>
        </w:tc>
        <w:tc>
          <w:tcPr>
            <w:tcW w:w="1275" w:type="dxa"/>
            <w:tcBorders>
              <w:top w:val="nil"/>
              <w:left w:val="nil"/>
              <w:bottom w:val="single" w:sz="4" w:space="0" w:color="000000"/>
              <w:right w:val="single" w:sz="4" w:space="0" w:color="000000"/>
            </w:tcBorders>
            <w:shd w:val="clear" w:color="auto" w:fill="auto"/>
            <w:noWrap/>
            <w:vAlign w:val="center"/>
            <w:hideMark/>
          </w:tcPr>
          <w:p w14:paraId="541E40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5 340</w:t>
            </w:r>
          </w:p>
        </w:tc>
        <w:tc>
          <w:tcPr>
            <w:tcW w:w="1277" w:type="dxa"/>
            <w:tcBorders>
              <w:top w:val="nil"/>
              <w:left w:val="nil"/>
              <w:bottom w:val="single" w:sz="4" w:space="0" w:color="000000"/>
              <w:right w:val="single" w:sz="4" w:space="0" w:color="000000"/>
            </w:tcBorders>
            <w:shd w:val="clear" w:color="auto" w:fill="auto"/>
            <w:noWrap/>
            <w:vAlign w:val="center"/>
            <w:hideMark/>
          </w:tcPr>
          <w:p w14:paraId="2795A0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5 596</w:t>
            </w:r>
          </w:p>
        </w:tc>
        <w:tc>
          <w:tcPr>
            <w:tcW w:w="1276" w:type="dxa"/>
            <w:tcBorders>
              <w:top w:val="nil"/>
              <w:left w:val="nil"/>
              <w:bottom w:val="single" w:sz="4" w:space="0" w:color="000000"/>
              <w:right w:val="single" w:sz="4" w:space="0" w:color="000000"/>
            </w:tcBorders>
            <w:shd w:val="clear" w:color="auto" w:fill="auto"/>
            <w:noWrap/>
            <w:vAlign w:val="center"/>
            <w:hideMark/>
          </w:tcPr>
          <w:p w14:paraId="32303A7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5 911</w:t>
            </w:r>
          </w:p>
        </w:tc>
        <w:tc>
          <w:tcPr>
            <w:tcW w:w="1275" w:type="dxa"/>
            <w:tcBorders>
              <w:top w:val="nil"/>
              <w:left w:val="nil"/>
              <w:bottom w:val="single" w:sz="4" w:space="0" w:color="000000"/>
              <w:right w:val="single" w:sz="4" w:space="0" w:color="000000"/>
            </w:tcBorders>
            <w:shd w:val="clear" w:color="auto" w:fill="auto"/>
            <w:noWrap/>
            <w:vAlign w:val="center"/>
            <w:hideMark/>
          </w:tcPr>
          <w:p w14:paraId="7F3EE0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6 226</w:t>
            </w:r>
          </w:p>
        </w:tc>
      </w:tr>
      <w:tr w:rsidR="00996507" w:rsidRPr="00996507" w14:paraId="453A3A77"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A3F59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B64D10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занимающихся в третью смену</w:t>
            </w:r>
          </w:p>
        </w:tc>
        <w:tc>
          <w:tcPr>
            <w:tcW w:w="1151" w:type="dxa"/>
            <w:tcBorders>
              <w:top w:val="nil"/>
              <w:left w:val="nil"/>
              <w:bottom w:val="single" w:sz="4" w:space="0" w:color="auto"/>
              <w:right w:val="single" w:sz="4" w:space="0" w:color="auto"/>
            </w:tcBorders>
            <w:shd w:val="clear" w:color="000000" w:fill="FFFFFF"/>
            <w:hideMark/>
          </w:tcPr>
          <w:p w14:paraId="65B5002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BD3613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17.2</w:t>
            </w:r>
          </w:p>
        </w:tc>
        <w:tc>
          <w:tcPr>
            <w:tcW w:w="1276" w:type="dxa"/>
            <w:tcBorders>
              <w:top w:val="nil"/>
              <w:left w:val="nil"/>
              <w:bottom w:val="single" w:sz="4" w:space="0" w:color="000000"/>
              <w:right w:val="single" w:sz="4" w:space="0" w:color="000000"/>
            </w:tcBorders>
            <w:shd w:val="clear" w:color="auto" w:fill="auto"/>
            <w:noWrap/>
            <w:vAlign w:val="center"/>
            <w:hideMark/>
          </w:tcPr>
          <w:p w14:paraId="274613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672E4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0AD8B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5CBC88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7CF7B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DC9E3E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5F592EF"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65E1BD9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034672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(всего)</w:t>
            </w:r>
          </w:p>
        </w:tc>
        <w:tc>
          <w:tcPr>
            <w:tcW w:w="1151" w:type="dxa"/>
            <w:tcBorders>
              <w:top w:val="nil"/>
              <w:left w:val="nil"/>
              <w:bottom w:val="single" w:sz="4" w:space="0" w:color="auto"/>
              <w:right w:val="single" w:sz="4" w:space="0" w:color="auto"/>
            </w:tcBorders>
            <w:shd w:val="clear" w:color="000000" w:fill="FFFFFF"/>
            <w:hideMark/>
          </w:tcPr>
          <w:p w14:paraId="1566670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48BA7A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17.3</w:t>
            </w:r>
          </w:p>
        </w:tc>
        <w:tc>
          <w:tcPr>
            <w:tcW w:w="1276" w:type="dxa"/>
            <w:tcBorders>
              <w:top w:val="nil"/>
              <w:left w:val="nil"/>
              <w:bottom w:val="single" w:sz="4" w:space="0" w:color="000000"/>
              <w:right w:val="single" w:sz="4" w:space="0" w:color="000000"/>
            </w:tcBorders>
            <w:shd w:val="clear" w:color="auto" w:fill="auto"/>
            <w:noWrap/>
            <w:vAlign w:val="center"/>
            <w:hideMark/>
          </w:tcPr>
          <w:p w14:paraId="4CAA79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10 622</w:t>
            </w:r>
          </w:p>
        </w:tc>
        <w:tc>
          <w:tcPr>
            <w:tcW w:w="1275" w:type="dxa"/>
            <w:tcBorders>
              <w:top w:val="nil"/>
              <w:left w:val="nil"/>
              <w:bottom w:val="single" w:sz="4" w:space="0" w:color="000000"/>
              <w:right w:val="single" w:sz="4" w:space="0" w:color="000000"/>
            </w:tcBorders>
            <w:shd w:val="clear" w:color="auto" w:fill="auto"/>
            <w:noWrap/>
            <w:vAlign w:val="center"/>
            <w:hideMark/>
          </w:tcPr>
          <w:p w14:paraId="4300E4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11 025</w:t>
            </w:r>
          </w:p>
        </w:tc>
        <w:tc>
          <w:tcPr>
            <w:tcW w:w="1275" w:type="dxa"/>
            <w:tcBorders>
              <w:top w:val="nil"/>
              <w:left w:val="nil"/>
              <w:bottom w:val="single" w:sz="4" w:space="0" w:color="000000"/>
              <w:right w:val="single" w:sz="4" w:space="0" w:color="000000"/>
            </w:tcBorders>
            <w:shd w:val="clear" w:color="auto" w:fill="auto"/>
            <w:noWrap/>
            <w:vAlign w:val="center"/>
            <w:hideMark/>
          </w:tcPr>
          <w:p w14:paraId="145CFB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11 679</w:t>
            </w:r>
          </w:p>
        </w:tc>
        <w:tc>
          <w:tcPr>
            <w:tcW w:w="1277" w:type="dxa"/>
            <w:tcBorders>
              <w:top w:val="nil"/>
              <w:left w:val="nil"/>
              <w:bottom w:val="single" w:sz="4" w:space="0" w:color="000000"/>
              <w:right w:val="single" w:sz="4" w:space="0" w:color="000000"/>
            </w:tcBorders>
            <w:shd w:val="clear" w:color="auto" w:fill="auto"/>
            <w:noWrap/>
            <w:vAlign w:val="center"/>
            <w:hideMark/>
          </w:tcPr>
          <w:p w14:paraId="4E387F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12 165</w:t>
            </w:r>
          </w:p>
        </w:tc>
        <w:tc>
          <w:tcPr>
            <w:tcW w:w="1276" w:type="dxa"/>
            <w:tcBorders>
              <w:top w:val="nil"/>
              <w:left w:val="nil"/>
              <w:bottom w:val="single" w:sz="4" w:space="0" w:color="000000"/>
              <w:right w:val="single" w:sz="4" w:space="0" w:color="000000"/>
            </w:tcBorders>
            <w:shd w:val="clear" w:color="auto" w:fill="auto"/>
            <w:noWrap/>
            <w:vAlign w:val="center"/>
            <w:hideMark/>
          </w:tcPr>
          <w:p w14:paraId="687D16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12 850</w:t>
            </w:r>
          </w:p>
        </w:tc>
        <w:tc>
          <w:tcPr>
            <w:tcW w:w="1275" w:type="dxa"/>
            <w:tcBorders>
              <w:top w:val="nil"/>
              <w:left w:val="nil"/>
              <w:bottom w:val="single" w:sz="4" w:space="0" w:color="000000"/>
              <w:right w:val="single" w:sz="4" w:space="0" w:color="000000"/>
            </w:tcBorders>
            <w:shd w:val="clear" w:color="auto" w:fill="auto"/>
            <w:noWrap/>
            <w:vAlign w:val="center"/>
            <w:hideMark/>
          </w:tcPr>
          <w:p w14:paraId="21C38C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13 535</w:t>
            </w:r>
          </w:p>
        </w:tc>
      </w:tr>
      <w:tr w:rsidR="00996507" w:rsidRPr="00996507" w14:paraId="1177439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912D45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26998B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2814E01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43E618B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000000"/>
              <w:right w:val="single" w:sz="4" w:space="0" w:color="000000"/>
            </w:tcBorders>
            <w:shd w:val="clear" w:color="000000" w:fill="C0C0C0"/>
            <w:noWrap/>
            <w:vAlign w:val="center"/>
            <w:hideMark/>
          </w:tcPr>
          <w:p w14:paraId="6D4E27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120,3</w:t>
            </w:r>
          </w:p>
        </w:tc>
        <w:tc>
          <w:tcPr>
            <w:tcW w:w="1275" w:type="dxa"/>
            <w:tcBorders>
              <w:top w:val="nil"/>
              <w:left w:val="nil"/>
              <w:bottom w:val="single" w:sz="4" w:space="0" w:color="000000"/>
              <w:right w:val="single" w:sz="4" w:space="0" w:color="000000"/>
            </w:tcBorders>
            <w:shd w:val="clear" w:color="000000" w:fill="C0C0C0"/>
            <w:noWrap/>
            <w:vAlign w:val="center"/>
            <w:hideMark/>
          </w:tcPr>
          <w:p w14:paraId="6A5114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120,1</w:t>
            </w:r>
          </w:p>
        </w:tc>
        <w:tc>
          <w:tcPr>
            <w:tcW w:w="1275" w:type="dxa"/>
            <w:tcBorders>
              <w:top w:val="nil"/>
              <w:left w:val="nil"/>
              <w:bottom w:val="single" w:sz="4" w:space="0" w:color="000000"/>
              <w:right w:val="single" w:sz="4" w:space="0" w:color="000000"/>
            </w:tcBorders>
            <w:shd w:val="clear" w:color="000000" w:fill="C0C0C0"/>
            <w:noWrap/>
            <w:vAlign w:val="center"/>
            <w:hideMark/>
          </w:tcPr>
          <w:p w14:paraId="437D4A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118,7</w:t>
            </w:r>
          </w:p>
        </w:tc>
        <w:tc>
          <w:tcPr>
            <w:tcW w:w="1277" w:type="dxa"/>
            <w:tcBorders>
              <w:top w:val="nil"/>
              <w:left w:val="nil"/>
              <w:bottom w:val="single" w:sz="4" w:space="0" w:color="000000"/>
              <w:right w:val="single" w:sz="4" w:space="0" w:color="000000"/>
            </w:tcBorders>
            <w:shd w:val="clear" w:color="000000" w:fill="C0C0C0"/>
            <w:noWrap/>
            <w:vAlign w:val="center"/>
            <w:hideMark/>
          </w:tcPr>
          <w:p w14:paraId="38A45E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119,9</w:t>
            </w:r>
          </w:p>
        </w:tc>
        <w:tc>
          <w:tcPr>
            <w:tcW w:w="1276" w:type="dxa"/>
            <w:tcBorders>
              <w:top w:val="nil"/>
              <w:left w:val="nil"/>
              <w:bottom w:val="single" w:sz="4" w:space="0" w:color="000000"/>
              <w:right w:val="single" w:sz="4" w:space="0" w:color="000000"/>
            </w:tcBorders>
            <w:shd w:val="clear" w:color="000000" w:fill="C0C0C0"/>
            <w:noWrap/>
            <w:vAlign w:val="center"/>
            <w:hideMark/>
          </w:tcPr>
          <w:p w14:paraId="14B9CE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102,2</w:t>
            </w:r>
          </w:p>
        </w:tc>
        <w:tc>
          <w:tcPr>
            <w:tcW w:w="1275" w:type="dxa"/>
            <w:tcBorders>
              <w:top w:val="nil"/>
              <w:left w:val="nil"/>
              <w:bottom w:val="single" w:sz="4" w:space="0" w:color="000000"/>
              <w:right w:val="single" w:sz="4" w:space="0" w:color="000000"/>
            </w:tcBorders>
            <w:shd w:val="clear" w:color="000000" w:fill="C0C0C0"/>
            <w:noWrap/>
            <w:vAlign w:val="center"/>
            <w:hideMark/>
          </w:tcPr>
          <w:p w14:paraId="372495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93,7</w:t>
            </w:r>
          </w:p>
        </w:tc>
      </w:tr>
      <w:tr w:rsidR="00996507" w:rsidRPr="00996507" w14:paraId="2DA68473"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7686A8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BCB3D6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Расходы бюджета муниципального образования на общее образование</w:t>
            </w:r>
          </w:p>
        </w:tc>
        <w:tc>
          <w:tcPr>
            <w:tcW w:w="1151" w:type="dxa"/>
            <w:tcBorders>
              <w:top w:val="nil"/>
              <w:left w:val="nil"/>
              <w:bottom w:val="single" w:sz="4" w:space="0" w:color="auto"/>
              <w:right w:val="single" w:sz="4" w:space="0" w:color="auto"/>
            </w:tcBorders>
            <w:shd w:val="clear" w:color="000000" w:fill="FFFFFF"/>
            <w:hideMark/>
          </w:tcPr>
          <w:p w14:paraId="6F00083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6F46FCD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18.1</w:t>
            </w:r>
          </w:p>
        </w:tc>
        <w:tc>
          <w:tcPr>
            <w:tcW w:w="1276" w:type="dxa"/>
            <w:tcBorders>
              <w:top w:val="nil"/>
              <w:left w:val="nil"/>
              <w:bottom w:val="single" w:sz="4" w:space="0" w:color="000000"/>
              <w:right w:val="single" w:sz="4" w:space="0" w:color="000000"/>
            </w:tcBorders>
            <w:shd w:val="clear" w:color="auto" w:fill="auto"/>
            <w:noWrap/>
            <w:vAlign w:val="center"/>
            <w:hideMark/>
          </w:tcPr>
          <w:p w14:paraId="115FAB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1223 644,0</w:t>
            </w:r>
          </w:p>
        </w:tc>
        <w:tc>
          <w:tcPr>
            <w:tcW w:w="1275" w:type="dxa"/>
            <w:tcBorders>
              <w:top w:val="nil"/>
              <w:left w:val="nil"/>
              <w:bottom w:val="single" w:sz="4" w:space="0" w:color="000000"/>
              <w:right w:val="single" w:sz="4" w:space="0" w:color="000000"/>
            </w:tcBorders>
            <w:shd w:val="clear" w:color="auto" w:fill="auto"/>
            <w:noWrap/>
            <w:vAlign w:val="center"/>
            <w:hideMark/>
          </w:tcPr>
          <w:p w14:paraId="1E55CC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1292 131,0</w:t>
            </w:r>
          </w:p>
        </w:tc>
        <w:tc>
          <w:tcPr>
            <w:tcW w:w="1275" w:type="dxa"/>
            <w:tcBorders>
              <w:top w:val="nil"/>
              <w:left w:val="nil"/>
              <w:bottom w:val="single" w:sz="4" w:space="0" w:color="000000"/>
              <w:right w:val="single" w:sz="4" w:space="0" w:color="000000"/>
            </w:tcBorders>
            <w:shd w:val="clear" w:color="auto" w:fill="auto"/>
            <w:noWrap/>
            <w:vAlign w:val="center"/>
            <w:hideMark/>
          </w:tcPr>
          <w:p w14:paraId="5C95D7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1342 175,3</w:t>
            </w:r>
          </w:p>
        </w:tc>
        <w:tc>
          <w:tcPr>
            <w:tcW w:w="1277" w:type="dxa"/>
            <w:tcBorders>
              <w:top w:val="nil"/>
              <w:left w:val="nil"/>
              <w:bottom w:val="single" w:sz="4" w:space="0" w:color="000000"/>
              <w:right w:val="single" w:sz="4" w:space="0" w:color="000000"/>
            </w:tcBorders>
            <w:shd w:val="clear" w:color="auto" w:fill="auto"/>
            <w:noWrap/>
            <w:vAlign w:val="center"/>
            <w:hideMark/>
          </w:tcPr>
          <w:p w14:paraId="7B80E5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1419 867,5</w:t>
            </w:r>
          </w:p>
        </w:tc>
        <w:tc>
          <w:tcPr>
            <w:tcW w:w="1276" w:type="dxa"/>
            <w:tcBorders>
              <w:top w:val="nil"/>
              <w:left w:val="nil"/>
              <w:bottom w:val="single" w:sz="4" w:space="0" w:color="000000"/>
              <w:right w:val="single" w:sz="4" w:space="0" w:color="000000"/>
            </w:tcBorders>
            <w:shd w:val="clear" w:color="auto" w:fill="auto"/>
            <w:noWrap/>
            <w:vAlign w:val="center"/>
            <w:hideMark/>
          </w:tcPr>
          <w:p w14:paraId="1B03ED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1266 407,6</w:t>
            </w:r>
          </w:p>
        </w:tc>
        <w:tc>
          <w:tcPr>
            <w:tcW w:w="1275" w:type="dxa"/>
            <w:tcBorders>
              <w:top w:val="nil"/>
              <w:left w:val="nil"/>
              <w:bottom w:val="single" w:sz="4" w:space="0" w:color="000000"/>
              <w:right w:val="single" w:sz="4" w:space="0" w:color="000000"/>
            </w:tcBorders>
            <w:shd w:val="clear" w:color="auto" w:fill="auto"/>
            <w:noWrap/>
            <w:vAlign w:val="center"/>
            <w:hideMark/>
          </w:tcPr>
          <w:p w14:paraId="00B4A8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1224 868,0</w:t>
            </w:r>
          </w:p>
        </w:tc>
      </w:tr>
      <w:tr w:rsidR="00996507" w:rsidRPr="00996507" w14:paraId="51B7C9AB"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6833FF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DD5216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обучающихся</w:t>
            </w:r>
          </w:p>
        </w:tc>
        <w:tc>
          <w:tcPr>
            <w:tcW w:w="1151" w:type="dxa"/>
            <w:tcBorders>
              <w:top w:val="nil"/>
              <w:left w:val="nil"/>
              <w:bottom w:val="single" w:sz="4" w:space="0" w:color="auto"/>
              <w:right w:val="single" w:sz="4" w:space="0" w:color="auto"/>
            </w:tcBorders>
            <w:shd w:val="clear" w:color="000000" w:fill="FFFFFF"/>
            <w:hideMark/>
          </w:tcPr>
          <w:p w14:paraId="646FE73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4058DD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18.2</w:t>
            </w:r>
          </w:p>
        </w:tc>
        <w:tc>
          <w:tcPr>
            <w:tcW w:w="1276" w:type="dxa"/>
            <w:tcBorders>
              <w:top w:val="nil"/>
              <w:left w:val="nil"/>
              <w:bottom w:val="single" w:sz="4" w:space="0" w:color="000000"/>
              <w:right w:val="single" w:sz="4" w:space="0" w:color="000000"/>
            </w:tcBorders>
            <w:shd w:val="clear" w:color="auto" w:fill="auto"/>
            <w:noWrap/>
            <w:vAlign w:val="center"/>
            <w:hideMark/>
          </w:tcPr>
          <w:p w14:paraId="541FED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10 172</w:t>
            </w:r>
          </w:p>
        </w:tc>
        <w:tc>
          <w:tcPr>
            <w:tcW w:w="1275" w:type="dxa"/>
            <w:tcBorders>
              <w:top w:val="nil"/>
              <w:left w:val="nil"/>
              <w:bottom w:val="single" w:sz="4" w:space="0" w:color="000000"/>
              <w:right w:val="single" w:sz="4" w:space="0" w:color="000000"/>
            </w:tcBorders>
            <w:shd w:val="clear" w:color="auto" w:fill="auto"/>
            <w:noWrap/>
            <w:vAlign w:val="center"/>
            <w:hideMark/>
          </w:tcPr>
          <w:p w14:paraId="67F41E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10 756</w:t>
            </w:r>
          </w:p>
        </w:tc>
        <w:tc>
          <w:tcPr>
            <w:tcW w:w="1275" w:type="dxa"/>
            <w:tcBorders>
              <w:top w:val="nil"/>
              <w:left w:val="nil"/>
              <w:bottom w:val="single" w:sz="4" w:space="0" w:color="000000"/>
              <w:right w:val="single" w:sz="4" w:space="0" w:color="000000"/>
            </w:tcBorders>
            <w:shd w:val="clear" w:color="auto" w:fill="auto"/>
            <w:noWrap/>
            <w:vAlign w:val="center"/>
            <w:hideMark/>
          </w:tcPr>
          <w:p w14:paraId="1B404D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11 307</w:t>
            </w:r>
          </w:p>
        </w:tc>
        <w:tc>
          <w:tcPr>
            <w:tcW w:w="1277" w:type="dxa"/>
            <w:tcBorders>
              <w:top w:val="nil"/>
              <w:left w:val="nil"/>
              <w:bottom w:val="single" w:sz="4" w:space="0" w:color="000000"/>
              <w:right w:val="single" w:sz="4" w:space="0" w:color="000000"/>
            </w:tcBorders>
            <w:shd w:val="clear" w:color="auto" w:fill="auto"/>
            <w:noWrap/>
            <w:vAlign w:val="center"/>
            <w:hideMark/>
          </w:tcPr>
          <w:p w14:paraId="0CDDDB2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11 841</w:t>
            </w:r>
          </w:p>
        </w:tc>
        <w:tc>
          <w:tcPr>
            <w:tcW w:w="1276" w:type="dxa"/>
            <w:tcBorders>
              <w:top w:val="nil"/>
              <w:left w:val="nil"/>
              <w:bottom w:val="single" w:sz="4" w:space="0" w:color="000000"/>
              <w:right w:val="single" w:sz="4" w:space="0" w:color="000000"/>
            </w:tcBorders>
            <w:shd w:val="clear" w:color="auto" w:fill="auto"/>
            <w:noWrap/>
            <w:vAlign w:val="center"/>
            <w:hideMark/>
          </w:tcPr>
          <w:p w14:paraId="362CD07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12 393</w:t>
            </w:r>
          </w:p>
        </w:tc>
        <w:tc>
          <w:tcPr>
            <w:tcW w:w="1275" w:type="dxa"/>
            <w:tcBorders>
              <w:top w:val="nil"/>
              <w:left w:val="nil"/>
              <w:bottom w:val="single" w:sz="4" w:space="0" w:color="000000"/>
              <w:right w:val="single" w:sz="4" w:space="0" w:color="000000"/>
            </w:tcBorders>
            <w:shd w:val="clear" w:color="auto" w:fill="auto"/>
            <w:noWrap/>
            <w:vAlign w:val="center"/>
            <w:hideMark/>
          </w:tcPr>
          <w:p w14:paraId="70463D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13 078</w:t>
            </w:r>
          </w:p>
        </w:tc>
      </w:tr>
      <w:tr w:rsidR="00996507" w:rsidRPr="00996507" w14:paraId="40701CC2" w14:textId="77777777" w:rsidTr="00996507">
        <w:trPr>
          <w:trHeight w:val="1785"/>
        </w:trPr>
        <w:tc>
          <w:tcPr>
            <w:tcW w:w="1701" w:type="dxa"/>
            <w:vMerge/>
            <w:tcBorders>
              <w:top w:val="nil"/>
              <w:left w:val="single" w:sz="4" w:space="0" w:color="auto"/>
              <w:bottom w:val="single" w:sz="4" w:space="0" w:color="auto"/>
              <w:right w:val="single" w:sz="4" w:space="0" w:color="auto"/>
            </w:tcBorders>
            <w:vAlign w:val="center"/>
            <w:hideMark/>
          </w:tcPr>
          <w:p w14:paraId="12C0802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E0172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151" w:type="dxa"/>
            <w:tcBorders>
              <w:top w:val="nil"/>
              <w:left w:val="nil"/>
              <w:bottom w:val="single" w:sz="4" w:space="0" w:color="auto"/>
              <w:right w:val="single" w:sz="4" w:space="0" w:color="auto"/>
            </w:tcBorders>
            <w:shd w:val="clear" w:color="000000" w:fill="FFFFFF"/>
            <w:hideMark/>
          </w:tcPr>
          <w:p w14:paraId="18A478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8A6E9B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000000"/>
              <w:right w:val="single" w:sz="4" w:space="0" w:color="000000"/>
            </w:tcBorders>
            <w:shd w:val="clear" w:color="000000" w:fill="C0C0C0"/>
            <w:noWrap/>
            <w:vAlign w:val="center"/>
            <w:hideMark/>
          </w:tcPr>
          <w:p w14:paraId="366145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104,6</w:t>
            </w:r>
          </w:p>
        </w:tc>
        <w:tc>
          <w:tcPr>
            <w:tcW w:w="1275" w:type="dxa"/>
            <w:tcBorders>
              <w:top w:val="nil"/>
              <w:left w:val="nil"/>
              <w:bottom w:val="single" w:sz="4" w:space="0" w:color="000000"/>
              <w:right w:val="single" w:sz="4" w:space="0" w:color="000000"/>
            </w:tcBorders>
            <w:shd w:val="clear" w:color="000000" w:fill="C0C0C0"/>
            <w:noWrap/>
            <w:vAlign w:val="center"/>
            <w:hideMark/>
          </w:tcPr>
          <w:p w14:paraId="4CACBF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92,8</w:t>
            </w:r>
          </w:p>
        </w:tc>
        <w:tc>
          <w:tcPr>
            <w:tcW w:w="1275" w:type="dxa"/>
            <w:tcBorders>
              <w:top w:val="nil"/>
              <w:left w:val="nil"/>
              <w:bottom w:val="single" w:sz="4" w:space="0" w:color="000000"/>
              <w:right w:val="single" w:sz="4" w:space="0" w:color="000000"/>
            </w:tcBorders>
            <w:shd w:val="clear" w:color="000000" w:fill="C0C0C0"/>
            <w:noWrap/>
            <w:vAlign w:val="center"/>
            <w:hideMark/>
          </w:tcPr>
          <w:p w14:paraId="1A2DA0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94,8</w:t>
            </w:r>
          </w:p>
        </w:tc>
        <w:tc>
          <w:tcPr>
            <w:tcW w:w="1277" w:type="dxa"/>
            <w:tcBorders>
              <w:top w:val="nil"/>
              <w:left w:val="nil"/>
              <w:bottom w:val="single" w:sz="4" w:space="0" w:color="000000"/>
              <w:right w:val="single" w:sz="4" w:space="0" w:color="000000"/>
            </w:tcBorders>
            <w:shd w:val="clear" w:color="000000" w:fill="C0C0C0"/>
            <w:noWrap/>
            <w:vAlign w:val="center"/>
            <w:hideMark/>
          </w:tcPr>
          <w:p w14:paraId="638427B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95,0</w:t>
            </w:r>
          </w:p>
        </w:tc>
        <w:tc>
          <w:tcPr>
            <w:tcW w:w="1276" w:type="dxa"/>
            <w:tcBorders>
              <w:top w:val="nil"/>
              <w:left w:val="nil"/>
              <w:bottom w:val="single" w:sz="4" w:space="0" w:color="000000"/>
              <w:right w:val="single" w:sz="4" w:space="0" w:color="000000"/>
            </w:tcBorders>
            <w:shd w:val="clear" w:color="000000" w:fill="C0C0C0"/>
            <w:noWrap/>
            <w:vAlign w:val="center"/>
            <w:hideMark/>
          </w:tcPr>
          <w:p w14:paraId="5FF4CC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95,0</w:t>
            </w:r>
          </w:p>
        </w:tc>
        <w:tc>
          <w:tcPr>
            <w:tcW w:w="1275" w:type="dxa"/>
            <w:tcBorders>
              <w:top w:val="nil"/>
              <w:left w:val="nil"/>
              <w:bottom w:val="single" w:sz="4" w:space="0" w:color="000000"/>
              <w:right w:val="single" w:sz="4" w:space="0" w:color="000000"/>
            </w:tcBorders>
            <w:shd w:val="clear" w:color="000000" w:fill="C0C0C0"/>
            <w:noWrap/>
            <w:vAlign w:val="center"/>
            <w:hideMark/>
          </w:tcPr>
          <w:p w14:paraId="4D61EA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95,0</w:t>
            </w:r>
          </w:p>
        </w:tc>
      </w:tr>
      <w:tr w:rsidR="00996507" w:rsidRPr="00996507" w14:paraId="3BD9885D"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80C09C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E0062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5D5A32A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85735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19.1</w:t>
            </w:r>
          </w:p>
        </w:tc>
        <w:tc>
          <w:tcPr>
            <w:tcW w:w="1276" w:type="dxa"/>
            <w:tcBorders>
              <w:top w:val="nil"/>
              <w:left w:val="nil"/>
              <w:bottom w:val="single" w:sz="4" w:space="0" w:color="000000"/>
              <w:right w:val="single" w:sz="4" w:space="0" w:color="000000"/>
            </w:tcBorders>
            <w:shd w:val="clear" w:color="auto" w:fill="auto"/>
            <w:noWrap/>
            <w:vAlign w:val="center"/>
            <w:hideMark/>
          </w:tcPr>
          <w:p w14:paraId="74BC6A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15 665</w:t>
            </w:r>
          </w:p>
        </w:tc>
        <w:tc>
          <w:tcPr>
            <w:tcW w:w="1275" w:type="dxa"/>
            <w:tcBorders>
              <w:top w:val="nil"/>
              <w:left w:val="nil"/>
              <w:bottom w:val="single" w:sz="4" w:space="0" w:color="000000"/>
              <w:right w:val="single" w:sz="4" w:space="0" w:color="000000"/>
            </w:tcBorders>
            <w:shd w:val="clear" w:color="auto" w:fill="auto"/>
            <w:noWrap/>
            <w:vAlign w:val="center"/>
            <w:hideMark/>
          </w:tcPr>
          <w:p w14:paraId="7B3FAA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14 002</w:t>
            </w:r>
          </w:p>
        </w:tc>
        <w:tc>
          <w:tcPr>
            <w:tcW w:w="1275" w:type="dxa"/>
            <w:tcBorders>
              <w:top w:val="nil"/>
              <w:left w:val="nil"/>
              <w:bottom w:val="single" w:sz="4" w:space="0" w:color="000000"/>
              <w:right w:val="single" w:sz="4" w:space="0" w:color="000000"/>
            </w:tcBorders>
            <w:shd w:val="clear" w:color="auto" w:fill="auto"/>
            <w:noWrap/>
            <w:vAlign w:val="center"/>
            <w:hideMark/>
          </w:tcPr>
          <w:p w14:paraId="546AEA7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13 901</w:t>
            </w:r>
          </w:p>
        </w:tc>
        <w:tc>
          <w:tcPr>
            <w:tcW w:w="1277" w:type="dxa"/>
            <w:tcBorders>
              <w:top w:val="nil"/>
              <w:left w:val="nil"/>
              <w:bottom w:val="single" w:sz="4" w:space="0" w:color="000000"/>
              <w:right w:val="single" w:sz="4" w:space="0" w:color="000000"/>
            </w:tcBorders>
            <w:shd w:val="clear" w:color="auto" w:fill="auto"/>
            <w:noWrap/>
            <w:vAlign w:val="center"/>
            <w:hideMark/>
          </w:tcPr>
          <w:p w14:paraId="24B1D7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14 136</w:t>
            </w:r>
          </w:p>
        </w:tc>
        <w:tc>
          <w:tcPr>
            <w:tcW w:w="1276" w:type="dxa"/>
            <w:tcBorders>
              <w:top w:val="nil"/>
              <w:left w:val="nil"/>
              <w:bottom w:val="single" w:sz="4" w:space="0" w:color="000000"/>
              <w:right w:val="single" w:sz="4" w:space="0" w:color="000000"/>
            </w:tcBorders>
            <w:shd w:val="clear" w:color="auto" w:fill="auto"/>
            <w:noWrap/>
            <w:vAlign w:val="center"/>
            <w:hideMark/>
          </w:tcPr>
          <w:p w14:paraId="559CCF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14 149</w:t>
            </w:r>
          </w:p>
        </w:tc>
        <w:tc>
          <w:tcPr>
            <w:tcW w:w="1275" w:type="dxa"/>
            <w:tcBorders>
              <w:top w:val="nil"/>
              <w:left w:val="nil"/>
              <w:bottom w:val="single" w:sz="4" w:space="0" w:color="000000"/>
              <w:right w:val="single" w:sz="4" w:space="0" w:color="000000"/>
            </w:tcBorders>
            <w:shd w:val="clear" w:color="auto" w:fill="auto"/>
            <w:noWrap/>
            <w:vAlign w:val="center"/>
            <w:hideMark/>
          </w:tcPr>
          <w:p w14:paraId="7BC7D2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14 162</w:t>
            </w:r>
          </w:p>
        </w:tc>
      </w:tr>
      <w:tr w:rsidR="00996507" w:rsidRPr="00996507" w14:paraId="284083CF"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3512A9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BDB64F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с 5 до 18 лет в городском округе (муниципальном районе)</w:t>
            </w:r>
          </w:p>
        </w:tc>
        <w:tc>
          <w:tcPr>
            <w:tcW w:w="1151" w:type="dxa"/>
            <w:tcBorders>
              <w:top w:val="nil"/>
              <w:left w:val="nil"/>
              <w:bottom w:val="single" w:sz="4" w:space="0" w:color="auto"/>
              <w:right w:val="single" w:sz="4" w:space="0" w:color="auto"/>
            </w:tcBorders>
            <w:shd w:val="clear" w:color="000000" w:fill="FFFFFF"/>
            <w:hideMark/>
          </w:tcPr>
          <w:p w14:paraId="2ABCC1C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662C0B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19.2</w:t>
            </w:r>
          </w:p>
        </w:tc>
        <w:tc>
          <w:tcPr>
            <w:tcW w:w="1276" w:type="dxa"/>
            <w:tcBorders>
              <w:top w:val="nil"/>
              <w:left w:val="nil"/>
              <w:bottom w:val="single" w:sz="4" w:space="0" w:color="000000"/>
              <w:right w:val="single" w:sz="4" w:space="0" w:color="000000"/>
            </w:tcBorders>
            <w:shd w:val="clear" w:color="auto" w:fill="auto"/>
            <w:noWrap/>
            <w:vAlign w:val="center"/>
            <w:hideMark/>
          </w:tcPr>
          <w:p w14:paraId="3588FD8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14 969</w:t>
            </w:r>
          </w:p>
        </w:tc>
        <w:tc>
          <w:tcPr>
            <w:tcW w:w="1275" w:type="dxa"/>
            <w:tcBorders>
              <w:top w:val="nil"/>
              <w:left w:val="nil"/>
              <w:bottom w:val="single" w:sz="4" w:space="0" w:color="000000"/>
              <w:right w:val="single" w:sz="4" w:space="0" w:color="000000"/>
            </w:tcBorders>
            <w:shd w:val="clear" w:color="auto" w:fill="auto"/>
            <w:noWrap/>
            <w:vAlign w:val="center"/>
            <w:hideMark/>
          </w:tcPr>
          <w:p w14:paraId="63723E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15 089</w:t>
            </w:r>
          </w:p>
        </w:tc>
        <w:tc>
          <w:tcPr>
            <w:tcW w:w="1275" w:type="dxa"/>
            <w:tcBorders>
              <w:top w:val="nil"/>
              <w:left w:val="nil"/>
              <w:bottom w:val="single" w:sz="4" w:space="0" w:color="000000"/>
              <w:right w:val="single" w:sz="4" w:space="0" w:color="000000"/>
            </w:tcBorders>
            <w:shd w:val="clear" w:color="auto" w:fill="auto"/>
            <w:noWrap/>
            <w:vAlign w:val="center"/>
            <w:hideMark/>
          </w:tcPr>
          <w:p w14:paraId="30E0A2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14 671</w:t>
            </w:r>
          </w:p>
        </w:tc>
        <w:tc>
          <w:tcPr>
            <w:tcW w:w="1277" w:type="dxa"/>
            <w:tcBorders>
              <w:top w:val="nil"/>
              <w:left w:val="nil"/>
              <w:bottom w:val="single" w:sz="4" w:space="0" w:color="000000"/>
              <w:right w:val="single" w:sz="4" w:space="0" w:color="000000"/>
            </w:tcBorders>
            <w:shd w:val="clear" w:color="auto" w:fill="auto"/>
            <w:noWrap/>
            <w:vAlign w:val="center"/>
            <w:hideMark/>
          </w:tcPr>
          <w:p w14:paraId="34C8F8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14 880</w:t>
            </w:r>
          </w:p>
        </w:tc>
        <w:tc>
          <w:tcPr>
            <w:tcW w:w="1276" w:type="dxa"/>
            <w:tcBorders>
              <w:top w:val="nil"/>
              <w:left w:val="nil"/>
              <w:bottom w:val="single" w:sz="4" w:space="0" w:color="000000"/>
              <w:right w:val="single" w:sz="4" w:space="0" w:color="000000"/>
            </w:tcBorders>
            <w:shd w:val="clear" w:color="auto" w:fill="auto"/>
            <w:noWrap/>
            <w:vAlign w:val="center"/>
            <w:hideMark/>
          </w:tcPr>
          <w:p w14:paraId="1CE3DB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14 894</w:t>
            </w:r>
          </w:p>
        </w:tc>
        <w:tc>
          <w:tcPr>
            <w:tcW w:w="1275" w:type="dxa"/>
            <w:tcBorders>
              <w:top w:val="nil"/>
              <w:left w:val="nil"/>
              <w:bottom w:val="single" w:sz="4" w:space="0" w:color="000000"/>
              <w:right w:val="single" w:sz="4" w:space="0" w:color="000000"/>
            </w:tcBorders>
            <w:shd w:val="clear" w:color="auto" w:fill="auto"/>
            <w:noWrap/>
            <w:vAlign w:val="center"/>
            <w:hideMark/>
          </w:tcPr>
          <w:p w14:paraId="6C7A3B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14 907</w:t>
            </w:r>
          </w:p>
        </w:tc>
      </w:tr>
      <w:tr w:rsidR="00996507" w:rsidRPr="00996507" w14:paraId="37FC79F7" w14:textId="77777777" w:rsidTr="00996507">
        <w:trPr>
          <w:trHeight w:val="76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E0D697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Культура</w:t>
            </w:r>
          </w:p>
        </w:tc>
        <w:tc>
          <w:tcPr>
            <w:tcW w:w="4378" w:type="dxa"/>
            <w:tcBorders>
              <w:top w:val="nil"/>
              <w:left w:val="nil"/>
              <w:bottom w:val="single" w:sz="4" w:space="0" w:color="auto"/>
              <w:right w:val="single" w:sz="4" w:space="0" w:color="auto"/>
            </w:tcBorders>
            <w:shd w:val="clear" w:color="000000" w:fill="FFFFFF"/>
            <w:hideMark/>
          </w:tcPr>
          <w:p w14:paraId="7393450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w:t>
            </w:r>
          </w:p>
        </w:tc>
        <w:tc>
          <w:tcPr>
            <w:tcW w:w="1151" w:type="dxa"/>
            <w:tcBorders>
              <w:top w:val="nil"/>
              <w:left w:val="nil"/>
              <w:bottom w:val="single" w:sz="4" w:space="0" w:color="auto"/>
              <w:right w:val="single" w:sz="4" w:space="0" w:color="auto"/>
            </w:tcBorders>
            <w:shd w:val="clear" w:color="000000" w:fill="FFFFFF"/>
            <w:hideMark/>
          </w:tcPr>
          <w:p w14:paraId="73CC1F1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78D1B7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000000"/>
              <w:right w:val="single" w:sz="4" w:space="0" w:color="000000"/>
            </w:tcBorders>
            <w:shd w:val="clear" w:color="000000" w:fill="C0C0C0"/>
            <w:noWrap/>
            <w:vAlign w:val="center"/>
            <w:hideMark/>
          </w:tcPr>
          <w:p w14:paraId="20853CD2"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327AF5D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32352F3D"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3D62089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74F10D2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5E92921E"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E322DD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6BDFD6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52AD66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 клубами и учреждениями клубного типа</w:t>
            </w:r>
          </w:p>
        </w:tc>
        <w:tc>
          <w:tcPr>
            <w:tcW w:w="1151" w:type="dxa"/>
            <w:tcBorders>
              <w:top w:val="nil"/>
              <w:left w:val="nil"/>
              <w:bottom w:val="single" w:sz="4" w:space="0" w:color="auto"/>
              <w:right w:val="single" w:sz="4" w:space="0" w:color="auto"/>
            </w:tcBorders>
            <w:shd w:val="clear" w:color="000000" w:fill="FFFFFF"/>
            <w:hideMark/>
          </w:tcPr>
          <w:p w14:paraId="576EF03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602A24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w:t>
            </w:r>
          </w:p>
        </w:tc>
        <w:tc>
          <w:tcPr>
            <w:tcW w:w="1276" w:type="dxa"/>
            <w:tcBorders>
              <w:top w:val="nil"/>
              <w:left w:val="nil"/>
              <w:bottom w:val="single" w:sz="4" w:space="0" w:color="000000"/>
              <w:right w:val="single" w:sz="4" w:space="0" w:color="000000"/>
            </w:tcBorders>
            <w:shd w:val="clear" w:color="000000" w:fill="C0C0C0"/>
            <w:noWrap/>
            <w:vAlign w:val="center"/>
            <w:hideMark/>
          </w:tcPr>
          <w:p w14:paraId="3E1798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24,2</w:t>
            </w:r>
          </w:p>
        </w:tc>
        <w:tc>
          <w:tcPr>
            <w:tcW w:w="1275" w:type="dxa"/>
            <w:tcBorders>
              <w:top w:val="nil"/>
              <w:left w:val="nil"/>
              <w:bottom w:val="single" w:sz="4" w:space="0" w:color="000000"/>
              <w:right w:val="single" w:sz="4" w:space="0" w:color="000000"/>
            </w:tcBorders>
            <w:shd w:val="clear" w:color="000000" w:fill="C0C0C0"/>
            <w:noWrap/>
            <w:vAlign w:val="center"/>
            <w:hideMark/>
          </w:tcPr>
          <w:p w14:paraId="2A503C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30,1</w:t>
            </w:r>
          </w:p>
        </w:tc>
        <w:tc>
          <w:tcPr>
            <w:tcW w:w="1275" w:type="dxa"/>
            <w:tcBorders>
              <w:top w:val="nil"/>
              <w:left w:val="nil"/>
              <w:bottom w:val="single" w:sz="4" w:space="0" w:color="000000"/>
              <w:right w:val="single" w:sz="4" w:space="0" w:color="000000"/>
            </w:tcBorders>
            <w:shd w:val="clear" w:color="000000" w:fill="C0C0C0"/>
            <w:noWrap/>
            <w:vAlign w:val="center"/>
            <w:hideMark/>
          </w:tcPr>
          <w:p w14:paraId="6338D7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29,6</w:t>
            </w:r>
          </w:p>
        </w:tc>
        <w:tc>
          <w:tcPr>
            <w:tcW w:w="1277" w:type="dxa"/>
            <w:tcBorders>
              <w:top w:val="nil"/>
              <w:left w:val="nil"/>
              <w:bottom w:val="single" w:sz="4" w:space="0" w:color="000000"/>
              <w:right w:val="single" w:sz="4" w:space="0" w:color="000000"/>
            </w:tcBorders>
            <w:shd w:val="clear" w:color="000000" w:fill="C0C0C0"/>
            <w:noWrap/>
            <w:vAlign w:val="center"/>
            <w:hideMark/>
          </w:tcPr>
          <w:p w14:paraId="16ADDD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23,8</w:t>
            </w:r>
          </w:p>
        </w:tc>
        <w:tc>
          <w:tcPr>
            <w:tcW w:w="1276" w:type="dxa"/>
            <w:tcBorders>
              <w:top w:val="nil"/>
              <w:left w:val="nil"/>
              <w:bottom w:val="single" w:sz="4" w:space="0" w:color="000000"/>
              <w:right w:val="single" w:sz="4" w:space="0" w:color="000000"/>
            </w:tcBorders>
            <w:shd w:val="clear" w:color="000000" w:fill="C0C0C0"/>
            <w:noWrap/>
            <w:vAlign w:val="center"/>
            <w:hideMark/>
          </w:tcPr>
          <w:p w14:paraId="27181E7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23,8</w:t>
            </w:r>
          </w:p>
        </w:tc>
        <w:tc>
          <w:tcPr>
            <w:tcW w:w="1275" w:type="dxa"/>
            <w:tcBorders>
              <w:top w:val="nil"/>
              <w:left w:val="nil"/>
              <w:bottom w:val="single" w:sz="4" w:space="0" w:color="000000"/>
              <w:right w:val="single" w:sz="4" w:space="0" w:color="000000"/>
            </w:tcBorders>
            <w:shd w:val="clear" w:color="000000" w:fill="C0C0C0"/>
            <w:noWrap/>
            <w:vAlign w:val="center"/>
            <w:hideMark/>
          </w:tcPr>
          <w:p w14:paraId="6356A6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23,8</w:t>
            </w:r>
          </w:p>
        </w:tc>
      </w:tr>
      <w:tr w:rsidR="00996507" w:rsidRPr="00996507" w14:paraId="1CE61FD0"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3614957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EB7280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Фактическое число посадочных мест в учреждениях культурно-досугового типа системы Минкультуры</w:t>
            </w:r>
          </w:p>
        </w:tc>
        <w:tc>
          <w:tcPr>
            <w:tcW w:w="1151" w:type="dxa"/>
            <w:tcBorders>
              <w:top w:val="nil"/>
              <w:left w:val="nil"/>
              <w:bottom w:val="single" w:sz="4" w:space="0" w:color="auto"/>
              <w:right w:val="single" w:sz="4" w:space="0" w:color="auto"/>
            </w:tcBorders>
            <w:shd w:val="clear" w:color="000000" w:fill="FFFFFF"/>
            <w:hideMark/>
          </w:tcPr>
          <w:p w14:paraId="6387BC6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6952D0A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20.1.1</w:t>
            </w:r>
          </w:p>
        </w:tc>
        <w:tc>
          <w:tcPr>
            <w:tcW w:w="1276" w:type="dxa"/>
            <w:tcBorders>
              <w:top w:val="nil"/>
              <w:left w:val="nil"/>
              <w:bottom w:val="single" w:sz="4" w:space="0" w:color="000000"/>
              <w:right w:val="single" w:sz="4" w:space="0" w:color="000000"/>
            </w:tcBorders>
            <w:shd w:val="clear" w:color="auto" w:fill="auto"/>
            <w:noWrap/>
            <w:vAlign w:val="center"/>
            <w:hideMark/>
          </w:tcPr>
          <w:p w14:paraId="291B2A0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c>
          <w:tcPr>
            <w:tcW w:w="1275" w:type="dxa"/>
            <w:tcBorders>
              <w:top w:val="nil"/>
              <w:left w:val="nil"/>
              <w:bottom w:val="single" w:sz="4" w:space="0" w:color="000000"/>
              <w:right w:val="single" w:sz="4" w:space="0" w:color="000000"/>
            </w:tcBorders>
            <w:shd w:val="clear" w:color="auto" w:fill="auto"/>
            <w:noWrap/>
            <w:vAlign w:val="center"/>
            <w:hideMark/>
          </w:tcPr>
          <w:p w14:paraId="122716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860</w:t>
            </w:r>
          </w:p>
        </w:tc>
        <w:tc>
          <w:tcPr>
            <w:tcW w:w="1275" w:type="dxa"/>
            <w:tcBorders>
              <w:top w:val="nil"/>
              <w:left w:val="nil"/>
              <w:bottom w:val="single" w:sz="4" w:space="0" w:color="000000"/>
              <w:right w:val="single" w:sz="4" w:space="0" w:color="000000"/>
            </w:tcBorders>
            <w:shd w:val="clear" w:color="auto" w:fill="auto"/>
            <w:noWrap/>
            <w:vAlign w:val="center"/>
            <w:hideMark/>
          </w:tcPr>
          <w:p w14:paraId="009AA1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860</w:t>
            </w:r>
          </w:p>
        </w:tc>
        <w:tc>
          <w:tcPr>
            <w:tcW w:w="1277" w:type="dxa"/>
            <w:tcBorders>
              <w:top w:val="nil"/>
              <w:left w:val="nil"/>
              <w:bottom w:val="single" w:sz="4" w:space="0" w:color="000000"/>
              <w:right w:val="single" w:sz="4" w:space="0" w:color="000000"/>
            </w:tcBorders>
            <w:shd w:val="clear" w:color="auto" w:fill="auto"/>
            <w:noWrap/>
            <w:vAlign w:val="center"/>
            <w:hideMark/>
          </w:tcPr>
          <w:p w14:paraId="473F2F5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c>
          <w:tcPr>
            <w:tcW w:w="1276" w:type="dxa"/>
            <w:tcBorders>
              <w:top w:val="nil"/>
              <w:left w:val="nil"/>
              <w:bottom w:val="single" w:sz="4" w:space="0" w:color="000000"/>
              <w:right w:val="single" w:sz="4" w:space="0" w:color="000000"/>
            </w:tcBorders>
            <w:shd w:val="clear" w:color="auto" w:fill="auto"/>
            <w:noWrap/>
            <w:vAlign w:val="center"/>
            <w:hideMark/>
          </w:tcPr>
          <w:p w14:paraId="5E07D09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c>
          <w:tcPr>
            <w:tcW w:w="1275" w:type="dxa"/>
            <w:tcBorders>
              <w:top w:val="nil"/>
              <w:left w:val="nil"/>
              <w:bottom w:val="single" w:sz="4" w:space="0" w:color="000000"/>
              <w:right w:val="single" w:sz="4" w:space="0" w:color="000000"/>
            </w:tcBorders>
            <w:shd w:val="clear" w:color="auto" w:fill="auto"/>
            <w:noWrap/>
            <w:vAlign w:val="center"/>
            <w:hideMark/>
          </w:tcPr>
          <w:p w14:paraId="6CDAB1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r>
      <w:tr w:rsidR="00996507" w:rsidRPr="00996507" w14:paraId="3000D9F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35F2EC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592555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Фактическое число посадочных мест в учреждениях культурно-досугового типа иных ведомств</w:t>
            </w:r>
          </w:p>
        </w:tc>
        <w:tc>
          <w:tcPr>
            <w:tcW w:w="1151" w:type="dxa"/>
            <w:tcBorders>
              <w:top w:val="nil"/>
              <w:left w:val="nil"/>
              <w:bottom w:val="single" w:sz="4" w:space="0" w:color="auto"/>
              <w:right w:val="single" w:sz="4" w:space="0" w:color="auto"/>
            </w:tcBorders>
            <w:shd w:val="clear" w:color="000000" w:fill="FFFFFF"/>
            <w:hideMark/>
          </w:tcPr>
          <w:p w14:paraId="49DFFA2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308BF84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20.1.2</w:t>
            </w:r>
          </w:p>
        </w:tc>
        <w:tc>
          <w:tcPr>
            <w:tcW w:w="1276" w:type="dxa"/>
            <w:tcBorders>
              <w:top w:val="nil"/>
              <w:left w:val="nil"/>
              <w:bottom w:val="single" w:sz="4" w:space="0" w:color="000000"/>
              <w:right w:val="single" w:sz="4" w:space="0" w:color="000000"/>
            </w:tcBorders>
            <w:shd w:val="clear" w:color="auto" w:fill="auto"/>
            <w:noWrap/>
            <w:vAlign w:val="center"/>
            <w:hideMark/>
          </w:tcPr>
          <w:p w14:paraId="04C023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A223E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EBF15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33A7E3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AC2365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7ABAC6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B45B3BE"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2BB75CB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46D57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зрительских мест в учреждениях культурно-досугового типа в соответствии с утвержденным нормативом, мест на 1000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61AFE93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349244E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20.1.3</w:t>
            </w:r>
          </w:p>
        </w:tc>
        <w:tc>
          <w:tcPr>
            <w:tcW w:w="1276" w:type="dxa"/>
            <w:tcBorders>
              <w:top w:val="nil"/>
              <w:left w:val="nil"/>
              <w:bottom w:val="single" w:sz="4" w:space="0" w:color="000000"/>
              <w:right w:val="single" w:sz="4" w:space="0" w:color="000000"/>
            </w:tcBorders>
            <w:shd w:val="clear" w:color="auto" w:fill="auto"/>
            <w:noWrap/>
            <w:vAlign w:val="center"/>
            <w:hideMark/>
          </w:tcPr>
          <w:p w14:paraId="6A6B64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2 860</w:t>
            </w:r>
          </w:p>
        </w:tc>
        <w:tc>
          <w:tcPr>
            <w:tcW w:w="1275" w:type="dxa"/>
            <w:tcBorders>
              <w:top w:val="nil"/>
              <w:left w:val="nil"/>
              <w:bottom w:val="single" w:sz="4" w:space="0" w:color="000000"/>
              <w:right w:val="single" w:sz="4" w:space="0" w:color="000000"/>
            </w:tcBorders>
            <w:shd w:val="clear" w:color="auto" w:fill="auto"/>
            <w:noWrap/>
            <w:vAlign w:val="center"/>
            <w:hideMark/>
          </w:tcPr>
          <w:p w14:paraId="350A06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2 860</w:t>
            </w:r>
          </w:p>
        </w:tc>
        <w:tc>
          <w:tcPr>
            <w:tcW w:w="1275" w:type="dxa"/>
            <w:tcBorders>
              <w:top w:val="nil"/>
              <w:left w:val="nil"/>
              <w:bottom w:val="single" w:sz="4" w:space="0" w:color="000000"/>
              <w:right w:val="single" w:sz="4" w:space="0" w:color="000000"/>
            </w:tcBorders>
            <w:shd w:val="clear" w:color="auto" w:fill="auto"/>
            <w:noWrap/>
            <w:vAlign w:val="center"/>
            <w:hideMark/>
          </w:tcPr>
          <w:p w14:paraId="5CAFB74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c>
          <w:tcPr>
            <w:tcW w:w="1277" w:type="dxa"/>
            <w:tcBorders>
              <w:top w:val="nil"/>
              <w:left w:val="nil"/>
              <w:bottom w:val="single" w:sz="4" w:space="0" w:color="000000"/>
              <w:right w:val="single" w:sz="4" w:space="0" w:color="000000"/>
            </w:tcBorders>
            <w:shd w:val="clear" w:color="auto" w:fill="auto"/>
            <w:noWrap/>
            <w:vAlign w:val="center"/>
            <w:hideMark/>
          </w:tcPr>
          <w:p w14:paraId="5C16E5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c>
          <w:tcPr>
            <w:tcW w:w="1276" w:type="dxa"/>
            <w:tcBorders>
              <w:top w:val="nil"/>
              <w:left w:val="nil"/>
              <w:bottom w:val="single" w:sz="4" w:space="0" w:color="000000"/>
              <w:right w:val="single" w:sz="4" w:space="0" w:color="000000"/>
            </w:tcBorders>
            <w:shd w:val="clear" w:color="auto" w:fill="auto"/>
            <w:noWrap/>
            <w:vAlign w:val="center"/>
            <w:hideMark/>
          </w:tcPr>
          <w:p w14:paraId="7578D1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c>
          <w:tcPr>
            <w:tcW w:w="1275" w:type="dxa"/>
            <w:tcBorders>
              <w:top w:val="nil"/>
              <w:left w:val="nil"/>
              <w:bottom w:val="single" w:sz="4" w:space="0" w:color="000000"/>
              <w:right w:val="single" w:sz="4" w:space="0" w:color="000000"/>
            </w:tcBorders>
            <w:shd w:val="clear" w:color="auto" w:fill="auto"/>
            <w:noWrap/>
            <w:vAlign w:val="center"/>
            <w:hideMark/>
          </w:tcPr>
          <w:p w14:paraId="36FB219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r>
      <w:tr w:rsidR="00996507" w:rsidRPr="00996507" w14:paraId="3B0586A8"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C0D57D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6EFA87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 библиотеками</w:t>
            </w:r>
          </w:p>
        </w:tc>
        <w:tc>
          <w:tcPr>
            <w:tcW w:w="1151" w:type="dxa"/>
            <w:tcBorders>
              <w:top w:val="nil"/>
              <w:left w:val="nil"/>
              <w:bottom w:val="single" w:sz="4" w:space="0" w:color="auto"/>
              <w:right w:val="single" w:sz="4" w:space="0" w:color="auto"/>
            </w:tcBorders>
            <w:shd w:val="clear" w:color="000000" w:fill="FFFFFF"/>
            <w:hideMark/>
          </w:tcPr>
          <w:p w14:paraId="731E195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4BF2F7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w:t>
            </w:r>
          </w:p>
        </w:tc>
        <w:tc>
          <w:tcPr>
            <w:tcW w:w="1276" w:type="dxa"/>
            <w:tcBorders>
              <w:top w:val="nil"/>
              <w:left w:val="nil"/>
              <w:bottom w:val="single" w:sz="4" w:space="0" w:color="000000"/>
              <w:right w:val="single" w:sz="4" w:space="0" w:color="000000"/>
            </w:tcBorders>
            <w:shd w:val="clear" w:color="000000" w:fill="C0C0C0"/>
            <w:noWrap/>
            <w:vAlign w:val="center"/>
            <w:hideMark/>
          </w:tcPr>
          <w:p w14:paraId="158BE0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79,8</w:t>
            </w:r>
          </w:p>
        </w:tc>
        <w:tc>
          <w:tcPr>
            <w:tcW w:w="1275" w:type="dxa"/>
            <w:tcBorders>
              <w:top w:val="nil"/>
              <w:left w:val="nil"/>
              <w:bottom w:val="single" w:sz="4" w:space="0" w:color="000000"/>
              <w:right w:val="single" w:sz="4" w:space="0" w:color="000000"/>
            </w:tcBorders>
            <w:shd w:val="clear" w:color="000000" w:fill="C0C0C0"/>
            <w:noWrap/>
            <w:vAlign w:val="center"/>
            <w:hideMark/>
          </w:tcPr>
          <w:p w14:paraId="3226440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80,8</w:t>
            </w:r>
          </w:p>
        </w:tc>
        <w:tc>
          <w:tcPr>
            <w:tcW w:w="1275" w:type="dxa"/>
            <w:tcBorders>
              <w:top w:val="nil"/>
              <w:left w:val="nil"/>
              <w:bottom w:val="single" w:sz="4" w:space="0" w:color="000000"/>
              <w:right w:val="single" w:sz="4" w:space="0" w:color="000000"/>
            </w:tcBorders>
            <w:shd w:val="clear" w:color="000000" w:fill="C0C0C0"/>
            <w:noWrap/>
            <w:vAlign w:val="center"/>
            <w:hideMark/>
          </w:tcPr>
          <w:p w14:paraId="010B84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80,8</w:t>
            </w:r>
          </w:p>
        </w:tc>
        <w:tc>
          <w:tcPr>
            <w:tcW w:w="1277" w:type="dxa"/>
            <w:tcBorders>
              <w:top w:val="nil"/>
              <w:left w:val="nil"/>
              <w:bottom w:val="single" w:sz="4" w:space="0" w:color="000000"/>
              <w:right w:val="single" w:sz="4" w:space="0" w:color="000000"/>
            </w:tcBorders>
            <w:shd w:val="clear" w:color="000000" w:fill="C0C0C0"/>
            <w:noWrap/>
            <w:vAlign w:val="center"/>
            <w:hideMark/>
          </w:tcPr>
          <w:p w14:paraId="31E8D2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c>
          <w:tcPr>
            <w:tcW w:w="1276" w:type="dxa"/>
            <w:tcBorders>
              <w:top w:val="nil"/>
              <w:left w:val="nil"/>
              <w:bottom w:val="single" w:sz="4" w:space="0" w:color="000000"/>
              <w:right w:val="single" w:sz="4" w:space="0" w:color="000000"/>
            </w:tcBorders>
            <w:shd w:val="clear" w:color="000000" w:fill="C0C0C0"/>
            <w:noWrap/>
            <w:vAlign w:val="center"/>
            <w:hideMark/>
          </w:tcPr>
          <w:p w14:paraId="4BEC5B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c>
          <w:tcPr>
            <w:tcW w:w="1275" w:type="dxa"/>
            <w:tcBorders>
              <w:top w:val="nil"/>
              <w:left w:val="nil"/>
              <w:bottom w:val="single" w:sz="4" w:space="0" w:color="000000"/>
              <w:right w:val="single" w:sz="4" w:space="0" w:color="000000"/>
            </w:tcBorders>
            <w:shd w:val="clear" w:color="000000" w:fill="C0C0C0"/>
            <w:noWrap/>
            <w:vAlign w:val="center"/>
            <w:hideMark/>
          </w:tcPr>
          <w:p w14:paraId="45752B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r>
      <w:tr w:rsidR="00996507" w:rsidRPr="00996507" w14:paraId="03D760A3"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E0BAEC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13DCB2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библиотек и библиотек-филиалов на конец отчетного года</w:t>
            </w:r>
          </w:p>
        </w:tc>
        <w:tc>
          <w:tcPr>
            <w:tcW w:w="1151" w:type="dxa"/>
            <w:tcBorders>
              <w:top w:val="nil"/>
              <w:left w:val="nil"/>
              <w:bottom w:val="single" w:sz="4" w:space="0" w:color="auto"/>
              <w:right w:val="single" w:sz="4" w:space="0" w:color="auto"/>
            </w:tcBorders>
            <w:shd w:val="clear" w:color="000000" w:fill="FFFFFF"/>
            <w:hideMark/>
          </w:tcPr>
          <w:p w14:paraId="3AA7B1D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E5D9B8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000000"/>
              <w:right w:val="single" w:sz="4" w:space="0" w:color="000000"/>
            </w:tcBorders>
            <w:shd w:val="clear" w:color="auto" w:fill="auto"/>
            <w:noWrap/>
            <w:vAlign w:val="center"/>
            <w:hideMark/>
          </w:tcPr>
          <w:p w14:paraId="782498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5" w:type="dxa"/>
            <w:tcBorders>
              <w:top w:val="nil"/>
              <w:left w:val="nil"/>
              <w:bottom w:val="single" w:sz="4" w:space="0" w:color="000000"/>
              <w:right w:val="single" w:sz="4" w:space="0" w:color="000000"/>
            </w:tcBorders>
            <w:shd w:val="clear" w:color="auto" w:fill="auto"/>
            <w:noWrap/>
            <w:vAlign w:val="center"/>
            <w:hideMark/>
          </w:tcPr>
          <w:p w14:paraId="2EF4CC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5" w:type="dxa"/>
            <w:tcBorders>
              <w:top w:val="nil"/>
              <w:left w:val="nil"/>
              <w:bottom w:val="single" w:sz="4" w:space="0" w:color="000000"/>
              <w:right w:val="single" w:sz="4" w:space="0" w:color="000000"/>
            </w:tcBorders>
            <w:shd w:val="clear" w:color="auto" w:fill="auto"/>
            <w:noWrap/>
            <w:vAlign w:val="center"/>
            <w:hideMark/>
          </w:tcPr>
          <w:p w14:paraId="004C5E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7" w:type="dxa"/>
            <w:tcBorders>
              <w:top w:val="nil"/>
              <w:left w:val="nil"/>
              <w:bottom w:val="single" w:sz="4" w:space="0" w:color="000000"/>
              <w:right w:val="single" w:sz="4" w:space="0" w:color="000000"/>
            </w:tcBorders>
            <w:shd w:val="clear" w:color="auto" w:fill="auto"/>
            <w:noWrap/>
            <w:vAlign w:val="center"/>
            <w:hideMark/>
          </w:tcPr>
          <w:p w14:paraId="0CDD0CF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6" w:type="dxa"/>
            <w:tcBorders>
              <w:top w:val="nil"/>
              <w:left w:val="nil"/>
              <w:bottom w:val="single" w:sz="4" w:space="0" w:color="000000"/>
              <w:right w:val="single" w:sz="4" w:space="0" w:color="000000"/>
            </w:tcBorders>
            <w:shd w:val="clear" w:color="auto" w:fill="auto"/>
            <w:noWrap/>
            <w:vAlign w:val="center"/>
            <w:hideMark/>
          </w:tcPr>
          <w:p w14:paraId="1746AE8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5" w:type="dxa"/>
            <w:tcBorders>
              <w:top w:val="nil"/>
              <w:left w:val="nil"/>
              <w:bottom w:val="single" w:sz="4" w:space="0" w:color="000000"/>
              <w:right w:val="single" w:sz="4" w:space="0" w:color="000000"/>
            </w:tcBorders>
            <w:shd w:val="clear" w:color="auto" w:fill="auto"/>
            <w:noWrap/>
            <w:vAlign w:val="center"/>
            <w:hideMark/>
          </w:tcPr>
          <w:p w14:paraId="0DA166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r>
      <w:tr w:rsidR="00996507" w:rsidRPr="00996507" w14:paraId="0CDF9336"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78A2ECD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D660A2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отделов внестанционарного обслуживания (библиотечных пунктов)</w:t>
            </w:r>
          </w:p>
        </w:tc>
        <w:tc>
          <w:tcPr>
            <w:tcW w:w="1151" w:type="dxa"/>
            <w:tcBorders>
              <w:top w:val="nil"/>
              <w:left w:val="nil"/>
              <w:bottom w:val="single" w:sz="4" w:space="0" w:color="auto"/>
              <w:right w:val="single" w:sz="4" w:space="0" w:color="auto"/>
            </w:tcBorders>
            <w:shd w:val="clear" w:color="000000" w:fill="FFFFFF"/>
            <w:hideMark/>
          </w:tcPr>
          <w:p w14:paraId="6EA15C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F72195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000000"/>
              <w:right w:val="single" w:sz="4" w:space="0" w:color="000000"/>
            </w:tcBorders>
            <w:shd w:val="clear" w:color="auto" w:fill="auto"/>
            <w:noWrap/>
            <w:vAlign w:val="center"/>
            <w:hideMark/>
          </w:tcPr>
          <w:p w14:paraId="1743C6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w:t>
            </w:r>
          </w:p>
        </w:tc>
        <w:tc>
          <w:tcPr>
            <w:tcW w:w="1275" w:type="dxa"/>
            <w:tcBorders>
              <w:top w:val="nil"/>
              <w:left w:val="nil"/>
              <w:bottom w:val="single" w:sz="4" w:space="0" w:color="000000"/>
              <w:right w:val="single" w:sz="4" w:space="0" w:color="000000"/>
            </w:tcBorders>
            <w:shd w:val="clear" w:color="auto" w:fill="auto"/>
            <w:noWrap/>
            <w:vAlign w:val="center"/>
            <w:hideMark/>
          </w:tcPr>
          <w:p w14:paraId="1E119C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5" w:type="dxa"/>
            <w:tcBorders>
              <w:top w:val="nil"/>
              <w:left w:val="nil"/>
              <w:bottom w:val="single" w:sz="4" w:space="0" w:color="000000"/>
              <w:right w:val="single" w:sz="4" w:space="0" w:color="000000"/>
            </w:tcBorders>
            <w:shd w:val="clear" w:color="auto" w:fill="auto"/>
            <w:noWrap/>
            <w:vAlign w:val="center"/>
            <w:hideMark/>
          </w:tcPr>
          <w:p w14:paraId="24A2CC5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7" w:type="dxa"/>
            <w:tcBorders>
              <w:top w:val="nil"/>
              <w:left w:val="nil"/>
              <w:bottom w:val="single" w:sz="4" w:space="0" w:color="000000"/>
              <w:right w:val="single" w:sz="4" w:space="0" w:color="000000"/>
            </w:tcBorders>
            <w:shd w:val="clear" w:color="auto" w:fill="auto"/>
            <w:noWrap/>
            <w:vAlign w:val="center"/>
            <w:hideMark/>
          </w:tcPr>
          <w:p w14:paraId="1486D2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6" w:type="dxa"/>
            <w:tcBorders>
              <w:top w:val="nil"/>
              <w:left w:val="nil"/>
              <w:bottom w:val="single" w:sz="4" w:space="0" w:color="000000"/>
              <w:right w:val="single" w:sz="4" w:space="0" w:color="000000"/>
            </w:tcBorders>
            <w:shd w:val="clear" w:color="auto" w:fill="auto"/>
            <w:noWrap/>
            <w:vAlign w:val="center"/>
            <w:hideMark/>
          </w:tcPr>
          <w:p w14:paraId="133B7E4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5" w:type="dxa"/>
            <w:tcBorders>
              <w:top w:val="nil"/>
              <w:left w:val="nil"/>
              <w:bottom w:val="single" w:sz="4" w:space="0" w:color="000000"/>
              <w:right w:val="single" w:sz="4" w:space="0" w:color="000000"/>
            </w:tcBorders>
            <w:shd w:val="clear" w:color="auto" w:fill="auto"/>
            <w:noWrap/>
            <w:vAlign w:val="center"/>
            <w:hideMark/>
          </w:tcPr>
          <w:p w14:paraId="6C68D5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r>
      <w:tr w:rsidR="00996507" w:rsidRPr="00996507" w14:paraId="0ACB9E68"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781F41D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22D393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учреждений культурно-досугового типа, занимающихся библиотечной деятельностью</w:t>
            </w:r>
          </w:p>
        </w:tc>
        <w:tc>
          <w:tcPr>
            <w:tcW w:w="1151" w:type="dxa"/>
            <w:tcBorders>
              <w:top w:val="nil"/>
              <w:left w:val="nil"/>
              <w:bottom w:val="single" w:sz="4" w:space="0" w:color="auto"/>
              <w:right w:val="single" w:sz="4" w:space="0" w:color="auto"/>
            </w:tcBorders>
            <w:shd w:val="clear" w:color="000000" w:fill="FFFFFF"/>
            <w:hideMark/>
          </w:tcPr>
          <w:p w14:paraId="7BF976C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C4DC0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000000"/>
              <w:right w:val="single" w:sz="4" w:space="0" w:color="000000"/>
            </w:tcBorders>
            <w:shd w:val="clear" w:color="auto" w:fill="auto"/>
            <w:noWrap/>
            <w:vAlign w:val="center"/>
            <w:hideMark/>
          </w:tcPr>
          <w:p w14:paraId="3DE487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339D7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D100D0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BD08B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1A7A1E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9E03E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3B8A89ED"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088BB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895732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Требуемое количество общедоступных библиотек в соответствии с утвержденным нормативом</w:t>
            </w:r>
          </w:p>
        </w:tc>
        <w:tc>
          <w:tcPr>
            <w:tcW w:w="1151" w:type="dxa"/>
            <w:tcBorders>
              <w:top w:val="nil"/>
              <w:left w:val="nil"/>
              <w:bottom w:val="single" w:sz="4" w:space="0" w:color="auto"/>
              <w:right w:val="single" w:sz="4" w:space="0" w:color="auto"/>
            </w:tcBorders>
            <w:shd w:val="clear" w:color="000000" w:fill="FFFFFF"/>
            <w:hideMark/>
          </w:tcPr>
          <w:p w14:paraId="78708B8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0A6398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20.2.4</w:t>
            </w:r>
          </w:p>
        </w:tc>
        <w:tc>
          <w:tcPr>
            <w:tcW w:w="1276" w:type="dxa"/>
            <w:tcBorders>
              <w:top w:val="nil"/>
              <w:left w:val="nil"/>
              <w:bottom w:val="single" w:sz="4" w:space="0" w:color="000000"/>
              <w:right w:val="single" w:sz="4" w:space="0" w:color="000000"/>
            </w:tcBorders>
            <w:shd w:val="clear" w:color="auto" w:fill="auto"/>
            <w:noWrap/>
            <w:vAlign w:val="center"/>
            <w:hideMark/>
          </w:tcPr>
          <w:p w14:paraId="53FA98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4FC60F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7C505F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7" w:type="dxa"/>
            <w:tcBorders>
              <w:top w:val="nil"/>
              <w:left w:val="nil"/>
              <w:bottom w:val="single" w:sz="4" w:space="0" w:color="000000"/>
              <w:right w:val="single" w:sz="4" w:space="0" w:color="000000"/>
            </w:tcBorders>
            <w:shd w:val="clear" w:color="auto" w:fill="auto"/>
            <w:noWrap/>
            <w:vAlign w:val="center"/>
            <w:hideMark/>
          </w:tcPr>
          <w:p w14:paraId="32660D0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6" w:type="dxa"/>
            <w:tcBorders>
              <w:top w:val="nil"/>
              <w:left w:val="nil"/>
              <w:bottom w:val="single" w:sz="4" w:space="0" w:color="000000"/>
              <w:right w:val="single" w:sz="4" w:space="0" w:color="000000"/>
            </w:tcBorders>
            <w:shd w:val="clear" w:color="auto" w:fill="auto"/>
            <w:noWrap/>
            <w:vAlign w:val="center"/>
            <w:hideMark/>
          </w:tcPr>
          <w:p w14:paraId="100FAF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5" w:type="dxa"/>
            <w:tcBorders>
              <w:top w:val="nil"/>
              <w:left w:val="nil"/>
              <w:bottom w:val="single" w:sz="4" w:space="0" w:color="000000"/>
              <w:right w:val="single" w:sz="4" w:space="0" w:color="000000"/>
            </w:tcBorders>
            <w:shd w:val="clear" w:color="auto" w:fill="auto"/>
            <w:noWrap/>
            <w:vAlign w:val="center"/>
            <w:hideMark/>
          </w:tcPr>
          <w:p w14:paraId="44C7AED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r>
      <w:tr w:rsidR="00996507" w:rsidRPr="00996507" w14:paraId="3BD082B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CDA288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852B9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 парками культуры и отдыха</w:t>
            </w:r>
          </w:p>
        </w:tc>
        <w:tc>
          <w:tcPr>
            <w:tcW w:w="1151" w:type="dxa"/>
            <w:tcBorders>
              <w:top w:val="nil"/>
              <w:left w:val="nil"/>
              <w:bottom w:val="single" w:sz="4" w:space="0" w:color="auto"/>
              <w:right w:val="single" w:sz="4" w:space="0" w:color="auto"/>
            </w:tcBorders>
            <w:shd w:val="clear" w:color="000000" w:fill="FFFFFF"/>
            <w:hideMark/>
          </w:tcPr>
          <w:p w14:paraId="4896311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4E6E9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20.3</w:t>
            </w:r>
          </w:p>
        </w:tc>
        <w:tc>
          <w:tcPr>
            <w:tcW w:w="1276" w:type="dxa"/>
            <w:tcBorders>
              <w:top w:val="nil"/>
              <w:left w:val="nil"/>
              <w:bottom w:val="single" w:sz="4" w:space="0" w:color="000000"/>
              <w:right w:val="single" w:sz="4" w:space="0" w:color="000000"/>
            </w:tcBorders>
            <w:shd w:val="clear" w:color="000000" w:fill="C0C0C0"/>
            <w:noWrap/>
            <w:vAlign w:val="center"/>
            <w:hideMark/>
          </w:tcPr>
          <w:p w14:paraId="69987D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A0C27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F47BD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5E34C4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95C903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F14CB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F17C37D"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93442D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4F4CBB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Обеспеченность населения парками культуры и отдыха (на конец года)</w:t>
            </w:r>
          </w:p>
        </w:tc>
        <w:tc>
          <w:tcPr>
            <w:tcW w:w="1151" w:type="dxa"/>
            <w:tcBorders>
              <w:top w:val="nil"/>
              <w:left w:val="nil"/>
              <w:bottom w:val="single" w:sz="4" w:space="0" w:color="auto"/>
              <w:right w:val="single" w:sz="4" w:space="0" w:color="auto"/>
            </w:tcBorders>
            <w:shd w:val="clear" w:color="000000" w:fill="FFFFFF"/>
            <w:hideMark/>
          </w:tcPr>
          <w:p w14:paraId="6E38A36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DE21BA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20.3.1</w:t>
            </w:r>
          </w:p>
        </w:tc>
        <w:tc>
          <w:tcPr>
            <w:tcW w:w="1276" w:type="dxa"/>
            <w:tcBorders>
              <w:top w:val="nil"/>
              <w:left w:val="nil"/>
              <w:bottom w:val="single" w:sz="4" w:space="0" w:color="000000"/>
              <w:right w:val="single" w:sz="4" w:space="0" w:color="000000"/>
            </w:tcBorders>
            <w:shd w:val="clear" w:color="auto" w:fill="auto"/>
            <w:noWrap/>
            <w:vAlign w:val="center"/>
            <w:hideMark/>
          </w:tcPr>
          <w:p w14:paraId="364BE9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949BB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CB67B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3FA5B6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53470D6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7DB31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105C9200"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DB3838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ACA9CB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Нормативный показатель обеспеченности парками культуры и отдыха</w:t>
            </w:r>
          </w:p>
        </w:tc>
        <w:tc>
          <w:tcPr>
            <w:tcW w:w="1151" w:type="dxa"/>
            <w:tcBorders>
              <w:top w:val="nil"/>
              <w:left w:val="nil"/>
              <w:bottom w:val="single" w:sz="4" w:space="0" w:color="auto"/>
              <w:right w:val="single" w:sz="4" w:space="0" w:color="auto"/>
            </w:tcBorders>
            <w:shd w:val="clear" w:color="000000" w:fill="FFFFFF"/>
            <w:hideMark/>
          </w:tcPr>
          <w:p w14:paraId="29EA6F1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1B5C7E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20.3.2</w:t>
            </w:r>
          </w:p>
        </w:tc>
        <w:tc>
          <w:tcPr>
            <w:tcW w:w="1276" w:type="dxa"/>
            <w:tcBorders>
              <w:top w:val="nil"/>
              <w:left w:val="nil"/>
              <w:bottom w:val="single" w:sz="4" w:space="0" w:color="000000"/>
              <w:right w:val="single" w:sz="4" w:space="0" w:color="000000"/>
            </w:tcBorders>
            <w:shd w:val="clear" w:color="auto" w:fill="auto"/>
            <w:noWrap/>
            <w:vAlign w:val="center"/>
            <w:hideMark/>
          </w:tcPr>
          <w:p w14:paraId="55C312B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37B1742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2DC20A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081AE1B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6" w:type="dxa"/>
            <w:tcBorders>
              <w:top w:val="nil"/>
              <w:left w:val="nil"/>
              <w:bottom w:val="single" w:sz="4" w:space="0" w:color="000000"/>
              <w:right w:val="single" w:sz="4" w:space="0" w:color="000000"/>
            </w:tcBorders>
            <w:shd w:val="clear" w:color="auto" w:fill="auto"/>
            <w:noWrap/>
            <w:vAlign w:val="center"/>
            <w:hideMark/>
          </w:tcPr>
          <w:p w14:paraId="0A5303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2DC597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r>
      <w:tr w:rsidR="00996507" w:rsidRPr="00996507" w14:paraId="5F43948F"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4A59C24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7EBAB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51" w:type="dxa"/>
            <w:tcBorders>
              <w:top w:val="nil"/>
              <w:left w:val="nil"/>
              <w:bottom w:val="single" w:sz="4" w:space="0" w:color="auto"/>
              <w:right w:val="single" w:sz="4" w:space="0" w:color="auto"/>
            </w:tcBorders>
            <w:shd w:val="clear" w:color="000000" w:fill="FFFFFF"/>
            <w:hideMark/>
          </w:tcPr>
          <w:p w14:paraId="48CDDCA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C974C0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000000"/>
              <w:right w:val="single" w:sz="4" w:space="0" w:color="000000"/>
            </w:tcBorders>
            <w:shd w:val="clear" w:color="000000" w:fill="C0C0C0"/>
            <w:noWrap/>
            <w:vAlign w:val="center"/>
            <w:hideMark/>
          </w:tcPr>
          <w:p w14:paraId="734CCC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w:t>
            </w:r>
          </w:p>
        </w:tc>
        <w:tc>
          <w:tcPr>
            <w:tcW w:w="1275" w:type="dxa"/>
            <w:tcBorders>
              <w:top w:val="nil"/>
              <w:left w:val="nil"/>
              <w:bottom w:val="single" w:sz="4" w:space="0" w:color="000000"/>
              <w:right w:val="single" w:sz="4" w:space="0" w:color="000000"/>
            </w:tcBorders>
            <w:shd w:val="clear" w:color="000000" w:fill="C0C0C0"/>
            <w:noWrap/>
            <w:vAlign w:val="center"/>
            <w:hideMark/>
          </w:tcPr>
          <w:p w14:paraId="64591AD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96803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7" w:type="dxa"/>
            <w:tcBorders>
              <w:top w:val="nil"/>
              <w:left w:val="nil"/>
              <w:bottom w:val="single" w:sz="4" w:space="0" w:color="000000"/>
              <w:right w:val="single" w:sz="4" w:space="0" w:color="000000"/>
            </w:tcBorders>
            <w:shd w:val="clear" w:color="000000" w:fill="C0C0C0"/>
            <w:noWrap/>
            <w:vAlign w:val="center"/>
            <w:hideMark/>
          </w:tcPr>
          <w:p w14:paraId="365450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5BA9FE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38278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27BD7177"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3EA720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CA9917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зданий, которые находятся в аварийном состоянии или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003DFF8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580EFE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21.1</w:t>
            </w:r>
          </w:p>
        </w:tc>
        <w:tc>
          <w:tcPr>
            <w:tcW w:w="1276" w:type="dxa"/>
            <w:tcBorders>
              <w:top w:val="nil"/>
              <w:left w:val="nil"/>
              <w:bottom w:val="single" w:sz="4" w:space="0" w:color="000000"/>
              <w:right w:val="single" w:sz="4" w:space="0" w:color="000000"/>
            </w:tcBorders>
            <w:shd w:val="clear" w:color="auto" w:fill="auto"/>
            <w:noWrap/>
            <w:vAlign w:val="center"/>
            <w:hideMark/>
          </w:tcPr>
          <w:p w14:paraId="1E814A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1023BE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DC1A1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786B0F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E33CE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47997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C0A6209"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9B6A7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F5772D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зданий государственных и муниципальных учреждений культуры</w:t>
            </w:r>
          </w:p>
        </w:tc>
        <w:tc>
          <w:tcPr>
            <w:tcW w:w="1151" w:type="dxa"/>
            <w:tcBorders>
              <w:top w:val="nil"/>
              <w:left w:val="nil"/>
              <w:bottom w:val="single" w:sz="4" w:space="0" w:color="auto"/>
              <w:right w:val="single" w:sz="4" w:space="0" w:color="auto"/>
            </w:tcBorders>
            <w:shd w:val="clear" w:color="000000" w:fill="FFFFFF"/>
            <w:hideMark/>
          </w:tcPr>
          <w:p w14:paraId="38DEA6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509F019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21.2</w:t>
            </w:r>
          </w:p>
        </w:tc>
        <w:tc>
          <w:tcPr>
            <w:tcW w:w="1276" w:type="dxa"/>
            <w:tcBorders>
              <w:top w:val="nil"/>
              <w:left w:val="nil"/>
              <w:bottom w:val="single" w:sz="4" w:space="0" w:color="000000"/>
              <w:right w:val="single" w:sz="4" w:space="0" w:color="000000"/>
            </w:tcBorders>
            <w:shd w:val="clear" w:color="auto" w:fill="auto"/>
            <w:noWrap/>
            <w:vAlign w:val="center"/>
            <w:hideMark/>
          </w:tcPr>
          <w:p w14:paraId="7F0DA0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w:t>
            </w:r>
          </w:p>
        </w:tc>
        <w:tc>
          <w:tcPr>
            <w:tcW w:w="1275" w:type="dxa"/>
            <w:tcBorders>
              <w:top w:val="nil"/>
              <w:left w:val="nil"/>
              <w:bottom w:val="single" w:sz="4" w:space="0" w:color="000000"/>
              <w:right w:val="single" w:sz="4" w:space="0" w:color="000000"/>
            </w:tcBorders>
            <w:shd w:val="clear" w:color="auto" w:fill="auto"/>
            <w:noWrap/>
            <w:vAlign w:val="center"/>
            <w:hideMark/>
          </w:tcPr>
          <w:p w14:paraId="48D33E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w:t>
            </w:r>
          </w:p>
        </w:tc>
        <w:tc>
          <w:tcPr>
            <w:tcW w:w="1275" w:type="dxa"/>
            <w:tcBorders>
              <w:top w:val="nil"/>
              <w:left w:val="nil"/>
              <w:bottom w:val="single" w:sz="4" w:space="0" w:color="000000"/>
              <w:right w:val="single" w:sz="4" w:space="0" w:color="000000"/>
            </w:tcBorders>
            <w:shd w:val="clear" w:color="auto" w:fill="auto"/>
            <w:noWrap/>
            <w:vAlign w:val="center"/>
            <w:hideMark/>
          </w:tcPr>
          <w:p w14:paraId="6B1ADC9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25</w:t>
            </w:r>
          </w:p>
        </w:tc>
        <w:tc>
          <w:tcPr>
            <w:tcW w:w="1277" w:type="dxa"/>
            <w:tcBorders>
              <w:top w:val="nil"/>
              <w:left w:val="nil"/>
              <w:bottom w:val="single" w:sz="4" w:space="0" w:color="000000"/>
              <w:right w:val="single" w:sz="4" w:space="0" w:color="000000"/>
            </w:tcBorders>
            <w:shd w:val="clear" w:color="auto" w:fill="auto"/>
            <w:noWrap/>
            <w:vAlign w:val="center"/>
            <w:hideMark/>
          </w:tcPr>
          <w:p w14:paraId="008E217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6" w:type="dxa"/>
            <w:tcBorders>
              <w:top w:val="nil"/>
              <w:left w:val="nil"/>
              <w:bottom w:val="single" w:sz="4" w:space="0" w:color="000000"/>
              <w:right w:val="single" w:sz="4" w:space="0" w:color="000000"/>
            </w:tcBorders>
            <w:shd w:val="clear" w:color="auto" w:fill="auto"/>
            <w:noWrap/>
            <w:vAlign w:val="center"/>
            <w:hideMark/>
          </w:tcPr>
          <w:p w14:paraId="67A7A9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262ECA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r>
      <w:tr w:rsidR="00996507" w:rsidRPr="00996507" w14:paraId="561403A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655FE32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9996E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51" w:type="dxa"/>
            <w:tcBorders>
              <w:top w:val="nil"/>
              <w:left w:val="nil"/>
              <w:bottom w:val="single" w:sz="4" w:space="0" w:color="auto"/>
              <w:right w:val="single" w:sz="4" w:space="0" w:color="auto"/>
            </w:tcBorders>
            <w:shd w:val="clear" w:color="000000" w:fill="FFFFFF"/>
            <w:hideMark/>
          </w:tcPr>
          <w:p w14:paraId="613EBF9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F48A2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000000"/>
              <w:right w:val="single" w:sz="4" w:space="0" w:color="000000"/>
            </w:tcBorders>
            <w:shd w:val="clear" w:color="000000" w:fill="C0C0C0"/>
            <w:noWrap/>
            <w:vAlign w:val="center"/>
            <w:hideMark/>
          </w:tcPr>
          <w:p w14:paraId="6094AD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2C715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A9BC0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742CFC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7CD5F8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7ABD4E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0DA6B1EB"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8DDE88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42F47D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объектов культурного наследия, находящихся в муниципальной собственности и требующих консервации или реставрации</w:t>
            </w:r>
          </w:p>
        </w:tc>
        <w:tc>
          <w:tcPr>
            <w:tcW w:w="1151" w:type="dxa"/>
            <w:tcBorders>
              <w:top w:val="nil"/>
              <w:left w:val="nil"/>
              <w:bottom w:val="single" w:sz="4" w:space="0" w:color="auto"/>
              <w:right w:val="single" w:sz="4" w:space="0" w:color="auto"/>
            </w:tcBorders>
            <w:shd w:val="clear" w:color="000000" w:fill="FFFFFF"/>
            <w:hideMark/>
          </w:tcPr>
          <w:p w14:paraId="34E4863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DFD7D7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22.1</w:t>
            </w:r>
          </w:p>
        </w:tc>
        <w:tc>
          <w:tcPr>
            <w:tcW w:w="1276" w:type="dxa"/>
            <w:tcBorders>
              <w:top w:val="nil"/>
              <w:left w:val="nil"/>
              <w:bottom w:val="single" w:sz="4" w:space="0" w:color="000000"/>
              <w:right w:val="single" w:sz="4" w:space="0" w:color="000000"/>
            </w:tcBorders>
            <w:shd w:val="clear" w:color="auto" w:fill="auto"/>
            <w:noWrap/>
            <w:vAlign w:val="center"/>
            <w:hideMark/>
          </w:tcPr>
          <w:p w14:paraId="40C217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11B56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0CD84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76D9E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36DD8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822E4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2CC370F"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F043CC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9D08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объектов культурного наследия, находящихся в муниципальной собственности всего</w:t>
            </w:r>
          </w:p>
        </w:tc>
        <w:tc>
          <w:tcPr>
            <w:tcW w:w="1151" w:type="dxa"/>
            <w:tcBorders>
              <w:top w:val="nil"/>
              <w:left w:val="nil"/>
              <w:bottom w:val="single" w:sz="4" w:space="0" w:color="auto"/>
              <w:right w:val="single" w:sz="4" w:space="0" w:color="auto"/>
            </w:tcBorders>
            <w:shd w:val="clear" w:color="000000" w:fill="FFFFFF"/>
            <w:hideMark/>
          </w:tcPr>
          <w:p w14:paraId="536DE80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A6B884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22.2</w:t>
            </w:r>
          </w:p>
        </w:tc>
        <w:tc>
          <w:tcPr>
            <w:tcW w:w="1276" w:type="dxa"/>
            <w:tcBorders>
              <w:top w:val="nil"/>
              <w:left w:val="nil"/>
              <w:bottom w:val="single" w:sz="4" w:space="0" w:color="000000"/>
              <w:right w:val="single" w:sz="4" w:space="0" w:color="000000"/>
            </w:tcBorders>
            <w:shd w:val="clear" w:color="auto" w:fill="auto"/>
            <w:noWrap/>
            <w:vAlign w:val="center"/>
            <w:hideMark/>
          </w:tcPr>
          <w:p w14:paraId="4A589C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4468AE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7EFFA6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30B025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6" w:type="dxa"/>
            <w:tcBorders>
              <w:top w:val="nil"/>
              <w:left w:val="nil"/>
              <w:bottom w:val="single" w:sz="4" w:space="0" w:color="000000"/>
              <w:right w:val="single" w:sz="4" w:space="0" w:color="000000"/>
            </w:tcBorders>
            <w:shd w:val="clear" w:color="auto" w:fill="auto"/>
            <w:noWrap/>
            <w:vAlign w:val="center"/>
            <w:hideMark/>
          </w:tcPr>
          <w:p w14:paraId="709B7D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182BC90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r>
      <w:tr w:rsidR="00996507" w:rsidRPr="00996507" w14:paraId="43015108" w14:textId="77777777" w:rsidTr="00996507">
        <w:trPr>
          <w:trHeight w:val="61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F691D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Физическая культура и спорт</w:t>
            </w:r>
          </w:p>
        </w:tc>
        <w:tc>
          <w:tcPr>
            <w:tcW w:w="4378" w:type="dxa"/>
            <w:tcBorders>
              <w:top w:val="nil"/>
              <w:left w:val="nil"/>
              <w:bottom w:val="single" w:sz="4" w:space="0" w:color="auto"/>
              <w:right w:val="single" w:sz="4" w:space="0" w:color="auto"/>
            </w:tcBorders>
            <w:shd w:val="clear" w:color="000000" w:fill="FFFFFF"/>
            <w:hideMark/>
          </w:tcPr>
          <w:p w14:paraId="0EA37C6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Доля населения, систематически занимающегося физической культурой и </w:t>
            </w:r>
            <w:r w:rsidRPr="00996507">
              <w:rPr>
                <w:rFonts w:ascii="Times New Roman" w:eastAsia="Times New Roman" w:hAnsi="Times New Roman" w:cs="Times New Roman"/>
                <w:color w:val="000000"/>
                <w:sz w:val="20"/>
                <w:szCs w:val="20"/>
                <w:lang w:eastAsia="ru-RU"/>
              </w:rPr>
              <w:lastRenderedPageBreak/>
              <w:t>спортом</w:t>
            </w:r>
          </w:p>
        </w:tc>
        <w:tc>
          <w:tcPr>
            <w:tcW w:w="1151" w:type="dxa"/>
            <w:tcBorders>
              <w:top w:val="nil"/>
              <w:left w:val="nil"/>
              <w:bottom w:val="single" w:sz="4" w:space="0" w:color="auto"/>
              <w:right w:val="single" w:sz="4" w:space="0" w:color="auto"/>
            </w:tcBorders>
            <w:shd w:val="clear" w:color="000000" w:fill="FFFFFF"/>
            <w:hideMark/>
          </w:tcPr>
          <w:p w14:paraId="30E7D1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lastRenderedPageBreak/>
              <w:t>Процент</w:t>
            </w:r>
          </w:p>
        </w:tc>
        <w:tc>
          <w:tcPr>
            <w:tcW w:w="992" w:type="dxa"/>
            <w:tcBorders>
              <w:top w:val="nil"/>
              <w:left w:val="nil"/>
              <w:bottom w:val="single" w:sz="4" w:space="0" w:color="auto"/>
              <w:right w:val="single" w:sz="4" w:space="0" w:color="auto"/>
            </w:tcBorders>
            <w:shd w:val="clear" w:color="000000" w:fill="FFFFFF"/>
            <w:hideMark/>
          </w:tcPr>
          <w:p w14:paraId="48559A6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w:t>
            </w:r>
          </w:p>
        </w:tc>
        <w:tc>
          <w:tcPr>
            <w:tcW w:w="1276" w:type="dxa"/>
            <w:tcBorders>
              <w:top w:val="nil"/>
              <w:left w:val="nil"/>
              <w:bottom w:val="single" w:sz="4" w:space="0" w:color="000000"/>
              <w:right w:val="single" w:sz="4" w:space="0" w:color="000000"/>
            </w:tcBorders>
            <w:shd w:val="clear" w:color="000000" w:fill="C0C0C0"/>
            <w:noWrap/>
            <w:vAlign w:val="center"/>
            <w:hideMark/>
          </w:tcPr>
          <w:p w14:paraId="1710CE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38,2</w:t>
            </w:r>
          </w:p>
        </w:tc>
        <w:tc>
          <w:tcPr>
            <w:tcW w:w="1275" w:type="dxa"/>
            <w:tcBorders>
              <w:top w:val="nil"/>
              <w:left w:val="nil"/>
              <w:bottom w:val="single" w:sz="4" w:space="0" w:color="000000"/>
              <w:right w:val="single" w:sz="4" w:space="0" w:color="000000"/>
            </w:tcBorders>
            <w:shd w:val="clear" w:color="000000" w:fill="C0C0C0"/>
            <w:noWrap/>
            <w:vAlign w:val="center"/>
            <w:hideMark/>
          </w:tcPr>
          <w:p w14:paraId="7AC4C0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43,5</w:t>
            </w:r>
          </w:p>
        </w:tc>
        <w:tc>
          <w:tcPr>
            <w:tcW w:w="1275" w:type="dxa"/>
            <w:tcBorders>
              <w:top w:val="nil"/>
              <w:left w:val="nil"/>
              <w:bottom w:val="single" w:sz="4" w:space="0" w:color="000000"/>
              <w:right w:val="single" w:sz="4" w:space="0" w:color="000000"/>
            </w:tcBorders>
            <w:shd w:val="clear" w:color="000000" w:fill="C0C0C0"/>
            <w:noWrap/>
            <w:vAlign w:val="center"/>
            <w:hideMark/>
          </w:tcPr>
          <w:p w14:paraId="6925F6C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44,0</w:t>
            </w:r>
          </w:p>
        </w:tc>
        <w:tc>
          <w:tcPr>
            <w:tcW w:w="1277" w:type="dxa"/>
            <w:tcBorders>
              <w:top w:val="nil"/>
              <w:left w:val="nil"/>
              <w:bottom w:val="single" w:sz="4" w:space="0" w:color="000000"/>
              <w:right w:val="single" w:sz="4" w:space="0" w:color="000000"/>
            </w:tcBorders>
            <w:shd w:val="clear" w:color="000000" w:fill="C0C0C0"/>
            <w:noWrap/>
            <w:vAlign w:val="center"/>
            <w:hideMark/>
          </w:tcPr>
          <w:p w14:paraId="70791C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43,7</w:t>
            </w:r>
          </w:p>
        </w:tc>
        <w:tc>
          <w:tcPr>
            <w:tcW w:w="1276" w:type="dxa"/>
            <w:tcBorders>
              <w:top w:val="nil"/>
              <w:left w:val="nil"/>
              <w:bottom w:val="single" w:sz="4" w:space="0" w:color="000000"/>
              <w:right w:val="single" w:sz="4" w:space="0" w:color="000000"/>
            </w:tcBorders>
            <w:shd w:val="clear" w:color="000000" w:fill="C0C0C0"/>
            <w:noWrap/>
            <w:vAlign w:val="center"/>
            <w:hideMark/>
          </w:tcPr>
          <w:p w14:paraId="71552BB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43,3</w:t>
            </w:r>
          </w:p>
        </w:tc>
        <w:tc>
          <w:tcPr>
            <w:tcW w:w="1275" w:type="dxa"/>
            <w:tcBorders>
              <w:top w:val="nil"/>
              <w:left w:val="nil"/>
              <w:bottom w:val="single" w:sz="4" w:space="0" w:color="000000"/>
              <w:right w:val="single" w:sz="4" w:space="0" w:color="000000"/>
            </w:tcBorders>
            <w:shd w:val="clear" w:color="000000" w:fill="C0C0C0"/>
            <w:noWrap/>
            <w:vAlign w:val="center"/>
            <w:hideMark/>
          </w:tcPr>
          <w:p w14:paraId="6B7A04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43,2</w:t>
            </w:r>
          </w:p>
        </w:tc>
      </w:tr>
      <w:tr w:rsidR="00996507" w:rsidRPr="00996507" w14:paraId="0167E2C3"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48E74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81DEED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151" w:type="dxa"/>
            <w:tcBorders>
              <w:top w:val="nil"/>
              <w:left w:val="nil"/>
              <w:bottom w:val="single" w:sz="4" w:space="0" w:color="auto"/>
              <w:right w:val="single" w:sz="4" w:space="0" w:color="auto"/>
            </w:tcBorders>
            <w:shd w:val="clear" w:color="000000" w:fill="FFFFFF"/>
            <w:hideMark/>
          </w:tcPr>
          <w:p w14:paraId="7F61064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83A868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23.1</w:t>
            </w:r>
          </w:p>
        </w:tc>
        <w:tc>
          <w:tcPr>
            <w:tcW w:w="1276" w:type="dxa"/>
            <w:tcBorders>
              <w:top w:val="nil"/>
              <w:left w:val="nil"/>
              <w:bottom w:val="single" w:sz="4" w:space="0" w:color="000000"/>
              <w:right w:val="single" w:sz="4" w:space="0" w:color="000000"/>
            </w:tcBorders>
            <w:shd w:val="clear" w:color="000000" w:fill="C0C0C0"/>
            <w:noWrap/>
            <w:vAlign w:val="center"/>
            <w:hideMark/>
          </w:tcPr>
          <w:p w14:paraId="084857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119,5</w:t>
            </w:r>
          </w:p>
        </w:tc>
        <w:tc>
          <w:tcPr>
            <w:tcW w:w="1275" w:type="dxa"/>
            <w:tcBorders>
              <w:top w:val="nil"/>
              <w:left w:val="nil"/>
              <w:bottom w:val="single" w:sz="4" w:space="0" w:color="000000"/>
              <w:right w:val="single" w:sz="4" w:space="0" w:color="000000"/>
            </w:tcBorders>
            <w:shd w:val="clear" w:color="000000" w:fill="C0C0C0"/>
            <w:noWrap/>
            <w:vAlign w:val="center"/>
            <w:hideMark/>
          </w:tcPr>
          <w:p w14:paraId="5A5329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95,3</w:t>
            </w:r>
          </w:p>
        </w:tc>
        <w:tc>
          <w:tcPr>
            <w:tcW w:w="1275" w:type="dxa"/>
            <w:tcBorders>
              <w:top w:val="nil"/>
              <w:left w:val="nil"/>
              <w:bottom w:val="single" w:sz="4" w:space="0" w:color="000000"/>
              <w:right w:val="single" w:sz="4" w:space="0" w:color="000000"/>
            </w:tcBorders>
            <w:shd w:val="clear" w:color="000000" w:fill="C0C0C0"/>
            <w:noWrap/>
            <w:vAlign w:val="center"/>
            <w:hideMark/>
          </w:tcPr>
          <w:p w14:paraId="436011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96,0</w:t>
            </w:r>
          </w:p>
        </w:tc>
        <w:tc>
          <w:tcPr>
            <w:tcW w:w="1277" w:type="dxa"/>
            <w:tcBorders>
              <w:top w:val="nil"/>
              <w:left w:val="nil"/>
              <w:bottom w:val="single" w:sz="4" w:space="0" w:color="000000"/>
              <w:right w:val="single" w:sz="4" w:space="0" w:color="000000"/>
            </w:tcBorders>
            <w:shd w:val="clear" w:color="000000" w:fill="C0C0C0"/>
            <w:noWrap/>
            <w:vAlign w:val="center"/>
            <w:hideMark/>
          </w:tcPr>
          <w:p w14:paraId="57882C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97,2</w:t>
            </w:r>
          </w:p>
        </w:tc>
        <w:tc>
          <w:tcPr>
            <w:tcW w:w="1276" w:type="dxa"/>
            <w:tcBorders>
              <w:top w:val="nil"/>
              <w:left w:val="nil"/>
              <w:bottom w:val="single" w:sz="4" w:space="0" w:color="000000"/>
              <w:right w:val="single" w:sz="4" w:space="0" w:color="000000"/>
            </w:tcBorders>
            <w:shd w:val="clear" w:color="000000" w:fill="C0C0C0"/>
            <w:noWrap/>
            <w:vAlign w:val="center"/>
            <w:hideMark/>
          </w:tcPr>
          <w:p w14:paraId="1E18734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97,7</w:t>
            </w:r>
          </w:p>
        </w:tc>
        <w:tc>
          <w:tcPr>
            <w:tcW w:w="1275" w:type="dxa"/>
            <w:tcBorders>
              <w:top w:val="nil"/>
              <w:left w:val="nil"/>
              <w:bottom w:val="single" w:sz="4" w:space="0" w:color="000000"/>
              <w:right w:val="single" w:sz="4" w:space="0" w:color="000000"/>
            </w:tcBorders>
            <w:shd w:val="clear" w:color="000000" w:fill="C0C0C0"/>
            <w:noWrap/>
            <w:vAlign w:val="center"/>
            <w:hideMark/>
          </w:tcPr>
          <w:p w14:paraId="2B0BDE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98,2</w:t>
            </w:r>
          </w:p>
        </w:tc>
      </w:tr>
      <w:tr w:rsidR="00996507" w:rsidRPr="00996507" w14:paraId="5A13C239"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09730F6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E21F37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занимающихся физической культурой и спортом</w:t>
            </w:r>
          </w:p>
        </w:tc>
        <w:tc>
          <w:tcPr>
            <w:tcW w:w="1151" w:type="dxa"/>
            <w:tcBorders>
              <w:top w:val="nil"/>
              <w:left w:val="nil"/>
              <w:bottom w:val="single" w:sz="4" w:space="0" w:color="auto"/>
              <w:right w:val="single" w:sz="4" w:space="0" w:color="auto"/>
            </w:tcBorders>
            <w:shd w:val="clear" w:color="000000" w:fill="FFFFFF"/>
            <w:hideMark/>
          </w:tcPr>
          <w:p w14:paraId="178567B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73E9C7D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23.2</w:t>
            </w:r>
          </w:p>
        </w:tc>
        <w:tc>
          <w:tcPr>
            <w:tcW w:w="1276" w:type="dxa"/>
            <w:tcBorders>
              <w:top w:val="nil"/>
              <w:left w:val="nil"/>
              <w:bottom w:val="single" w:sz="4" w:space="0" w:color="000000"/>
              <w:right w:val="single" w:sz="4" w:space="0" w:color="000000"/>
            </w:tcBorders>
            <w:shd w:val="clear" w:color="auto" w:fill="auto"/>
            <w:noWrap/>
            <w:vAlign w:val="center"/>
            <w:hideMark/>
          </w:tcPr>
          <w:p w14:paraId="6AA557B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25 455</w:t>
            </w:r>
          </w:p>
        </w:tc>
        <w:tc>
          <w:tcPr>
            <w:tcW w:w="1275" w:type="dxa"/>
            <w:tcBorders>
              <w:top w:val="nil"/>
              <w:left w:val="nil"/>
              <w:bottom w:val="single" w:sz="4" w:space="0" w:color="000000"/>
              <w:right w:val="single" w:sz="4" w:space="0" w:color="000000"/>
            </w:tcBorders>
            <w:shd w:val="clear" w:color="auto" w:fill="auto"/>
            <w:noWrap/>
            <w:vAlign w:val="center"/>
            <w:hideMark/>
          </w:tcPr>
          <w:p w14:paraId="642200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21 091</w:t>
            </w:r>
          </w:p>
        </w:tc>
        <w:tc>
          <w:tcPr>
            <w:tcW w:w="1275" w:type="dxa"/>
            <w:tcBorders>
              <w:top w:val="nil"/>
              <w:left w:val="nil"/>
              <w:bottom w:val="single" w:sz="4" w:space="0" w:color="000000"/>
              <w:right w:val="single" w:sz="4" w:space="0" w:color="000000"/>
            </w:tcBorders>
            <w:shd w:val="clear" w:color="auto" w:fill="auto"/>
            <w:noWrap/>
            <w:vAlign w:val="center"/>
            <w:hideMark/>
          </w:tcPr>
          <w:p w14:paraId="0786DB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22 091</w:t>
            </w:r>
          </w:p>
        </w:tc>
        <w:tc>
          <w:tcPr>
            <w:tcW w:w="1277" w:type="dxa"/>
            <w:tcBorders>
              <w:top w:val="nil"/>
              <w:left w:val="nil"/>
              <w:bottom w:val="single" w:sz="4" w:space="0" w:color="000000"/>
              <w:right w:val="single" w:sz="4" w:space="0" w:color="000000"/>
            </w:tcBorders>
            <w:shd w:val="clear" w:color="auto" w:fill="auto"/>
            <w:noWrap/>
            <w:vAlign w:val="center"/>
            <w:hideMark/>
          </w:tcPr>
          <w:p w14:paraId="5BAFBF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22 191</w:t>
            </w:r>
          </w:p>
        </w:tc>
        <w:tc>
          <w:tcPr>
            <w:tcW w:w="1276" w:type="dxa"/>
            <w:tcBorders>
              <w:top w:val="nil"/>
              <w:left w:val="nil"/>
              <w:bottom w:val="single" w:sz="4" w:space="0" w:color="000000"/>
              <w:right w:val="single" w:sz="4" w:space="0" w:color="000000"/>
            </w:tcBorders>
            <w:shd w:val="clear" w:color="auto" w:fill="auto"/>
            <w:noWrap/>
            <w:vAlign w:val="center"/>
            <w:hideMark/>
          </w:tcPr>
          <w:p w14:paraId="005F12B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22 292</w:t>
            </w:r>
          </w:p>
        </w:tc>
        <w:tc>
          <w:tcPr>
            <w:tcW w:w="1275" w:type="dxa"/>
            <w:tcBorders>
              <w:top w:val="nil"/>
              <w:left w:val="nil"/>
              <w:bottom w:val="single" w:sz="4" w:space="0" w:color="000000"/>
              <w:right w:val="single" w:sz="4" w:space="0" w:color="000000"/>
            </w:tcBorders>
            <w:shd w:val="clear" w:color="auto" w:fill="auto"/>
            <w:noWrap/>
            <w:vAlign w:val="center"/>
            <w:hideMark/>
          </w:tcPr>
          <w:p w14:paraId="5A5DC3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22 393</w:t>
            </w:r>
          </w:p>
        </w:tc>
      </w:tr>
      <w:tr w:rsidR="00996507" w:rsidRPr="00996507" w14:paraId="53C9711B" w14:textId="77777777" w:rsidTr="00996507">
        <w:trPr>
          <w:trHeight w:val="510"/>
        </w:trPr>
        <w:tc>
          <w:tcPr>
            <w:tcW w:w="1701" w:type="dxa"/>
            <w:tcBorders>
              <w:top w:val="nil"/>
              <w:left w:val="single" w:sz="4" w:space="0" w:color="auto"/>
              <w:bottom w:val="single" w:sz="4" w:space="0" w:color="auto"/>
              <w:right w:val="single" w:sz="4" w:space="0" w:color="auto"/>
            </w:tcBorders>
            <w:shd w:val="clear" w:color="000000" w:fill="FFFFFF"/>
            <w:hideMark/>
          </w:tcPr>
          <w:p w14:paraId="430EE8E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Экономическое развитие</w:t>
            </w:r>
          </w:p>
        </w:tc>
        <w:tc>
          <w:tcPr>
            <w:tcW w:w="4378" w:type="dxa"/>
            <w:tcBorders>
              <w:top w:val="nil"/>
              <w:left w:val="nil"/>
              <w:bottom w:val="single" w:sz="4" w:space="0" w:color="auto"/>
              <w:right w:val="single" w:sz="4" w:space="0" w:color="auto"/>
            </w:tcBorders>
            <w:shd w:val="clear" w:color="000000" w:fill="FFFFFF"/>
            <w:hideMark/>
          </w:tcPr>
          <w:p w14:paraId="2E0920B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населения в возрасте 0-17 лет на 1 января отчетного года</w:t>
            </w:r>
          </w:p>
        </w:tc>
        <w:tc>
          <w:tcPr>
            <w:tcW w:w="1151" w:type="dxa"/>
            <w:tcBorders>
              <w:top w:val="nil"/>
              <w:left w:val="nil"/>
              <w:bottom w:val="single" w:sz="4" w:space="0" w:color="auto"/>
              <w:right w:val="single" w:sz="4" w:space="0" w:color="auto"/>
            </w:tcBorders>
            <w:shd w:val="clear" w:color="000000" w:fill="FFFFFF"/>
            <w:hideMark/>
          </w:tcPr>
          <w:p w14:paraId="2F37B9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7DC305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23.3</w:t>
            </w:r>
          </w:p>
        </w:tc>
        <w:tc>
          <w:tcPr>
            <w:tcW w:w="1276" w:type="dxa"/>
            <w:tcBorders>
              <w:top w:val="nil"/>
              <w:left w:val="nil"/>
              <w:bottom w:val="single" w:sz="4" w:space="0" w:color="000000"/>
              <w:right w:val="single" w:sz="4" w:space="0" w:color="000000"/>
            </w:tcBorders>
            <w:shd w:val="clear" w:color="auto" w:fill="auto"/>
            <w:noWrap/>
            <w:vAlign w:val="center"/>
            <w:hideMark/>
          </w:tcPr>
          <w:p w14:paraId="25366BE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21 301</w:t>
            </w:r>
          </w:p>
        </w:tc>
        <w:tc>
          <w:tcPr>
            <w:tcW w:w="1275" w:type="dxa"/>
            <w:tcBorders>
              <w:top w:val="nil"/>
              <w:left w:val="nil"/>
              <w:bottom w:val="single" w:sz="4" w:space="0" w:color="000000"/>
              <w:right w:val="single" w:sz="4" w:space="0" w:color="000000"/>
            </w:tcBorders>
            <w:shd w:val="clear" w:color="auto" w:fill="auto"/>
            <w:noWrap/>
            <w:vAlign w:val="center"/>
            <w:hideMark/>
          </w:tcPr>
          <w:p w14:paraId="33D6DDB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22 120</w:t>
            </w:r>
          </w:p>
        </w:tc>
        <w:tc>
          <w:tcPr>
            <w:tcW w:w="1275" w:type="dxa"/>
            <w:tcBorders>
              <w:top w:val="nil"/>
              <w:left w:val="nil"/>
              <w:bottom w:val="single" w:sz="4" w:space="0" w:color="000000"/>
              <w:right w:val="single" w:sz="4" w:space="0" w:color="000000"/>
            </w:tcBorders>
            <w:shd w:val="clear" w:color="auto" w:fill="auto"/>
            <w:noWrap/>
            <w:vAlign w:val="center"/>
            <w:hideMark/>
          </w:tcPr>
          <w:p w14:paraId="550419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23 013</w:t>
            </w:r>
          </w:p>
        </w:tc>
        <w:tc>
          <w:tcPr>
            <w:tcW w:w="1277" w:type="dxa"/>
            <w:tcBorders>
              <w:top w:val="nil"/>
              <w:left w:val="nil"/>
              <w:bottom w:val="single" w:sz="4" w:space="0" w:color="000000"/>
              <w:right w:val="single" w:sz="4" w:space="0" w:color="000000"/>
            </w:tcBorders>
            <w:shd w:val="clear" w:color="auto" w:fill="auto"/>
            <w:noWrap/>
            <w:vAlign w:val="center"/>
            <w:hideMark/>
          </w:tcPr>
          <w:p w14:paraId="1948DA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23 013</w:t>
            </w:r>
          </w:p>
        </w:tc>
        <w:tc>
          <w:tcPr>
            <w:tcW w:w="1276" w:type="dxa"/>
            <w:tcBorders>
              <w:top w:val="nil"/>
              <w:left w:val="nil"/>
              <w:bottom w:val="single" w:sz="4" w:space="0" w:color="000000"/>
              <w:right w:val="single" w:sz="4" w:space="0" w:color="000000"/>
            </w:tcBorders>
            <w:shd w:val="clear" w:color="auto" w:fill="auto"/>
            <w:noWrap/>
            <w:vAlign w:val="center"/>
            <w:hideMark/>
          </w:tcPr>
          <w:p w14:paraId="1AEABA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22 527</w:t>
            </w:r>
          </w:p>
        </w:tc>
        <w:tc>
          <w:tcPr>
            <w:tcW w:w="1275" w:type="dxa"/>
            <w:tcBorders>
              <w:top w:val="nil"/>
              <w:left w:val="nil"/>
              <w:bottom w:val="single" w:sz="4" w:space="0" w:color="000000"/>
              <w:right w:val="single" w:sz="4" w:space="0" w:color="000000"/>
            </w:tcBorders>
            <w:shd w:val="clear" w:color="auto" w:fill="auto"/>
            <w:noWrap/>
            <w:vAlign w:val="center"/>
            <w:hideMark/>
          </w:tcPr>
          <w:p w14:paraId="3A0458A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22 852</w:t>
            </w:r>
          </w:p>
        </w:tc>
      </w:tr>
      <w:tr w:rsidR="00996507" w:rsidRPr="00996507" w14:paraId="3F20EA33" w14:textId="77777777" w:rsidTr="00996507">
        <w:trPr>
          <w:trHeight w:val="555"/>
        </w:trPr>
        <w:tc>
          <w:tcPr>
            <w:tcW w:w="1701" w:type="dxa"/>
            <w:tcBorders>
              <w:top w:val="nil"/>
              <w:left w:val="single" w:sz="4" w:space="0" w:color="auto"/>
              <w:bottom w:val="single" w:sz="4" w:space="0" w:color="auto"/>
              <w:right w:val="single" w:sz="4" w:space="0" w:color="auto"/>
            </w:tcBorders>
            <w:shd w:val="clear" w:color="000000" w:fill="FFFFFF"/>
            <w:hideMark/>
          </w:tcPr>
          <w:p w14:paraId="7204F75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Физическая культура и спорт</w:t>
            </w:r>
          </w:p>
        </w:tc>
        <w:tc>
          <w:tcPr>
            <w:tcW w:w="4378" w:type="dxa"/>
            <w:tcBorders>
              <w:top w:val="nil"/>
              <w:left w:val="nil"/>
              <w:bottom w:val="single" w:sz="4" w:space="0" w:color="auto"/>
              <w:right w:val="single" w:sz="4" w:space="0" w:color="auto"/>
            </w:tcBorders>
            <w:shd w:val="clear" w:color="000000" w:fill="FFFFFF"/>
            <w:hideMark/>
          </w:tcPr>
          <w:p w14:paraId="4392B3D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лиц, систематически занимающихся физической культурой и спортом</w:t>
            </w:r>
          </w:p>
        </w:tc>
        <w:tc>
          <w:tcPr>
            <w:tcW w:w="1151" w:type="dxa"/>
            <w:tcBorders>
              <w:top w:val="nil"/>
              <w:left w:val="nil"/>
              <w:bottom w:val="single" w:sz="4" w:space="0" w:color="auto"/>
              <w:right w:val="single" w:sz="4" w:space="0" w:color="auto"/>
            </w:tcBorders>
            <w:shd w:val="clear" w:color="000000" w:fill="FFFFFF"/>
            <w:hideMark/>
          </w:tcPr>
          <w:p w14:paraId="6E09AE6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474457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23.4</w:t>
            </w:r>
          </w:p>
        </w:tc>
        <w:tc>
          <w:tcPr>
            <w:tcW w:w="1276" w:type="dxa"/>
            <w:tcBorders>
              <w:top w:val="nil"/>
              <w:left w:val="nil"/>
              <w:bottom w:val="single" w:sz="4" w:space="0" w:color="000000"/>
              <w:right w:val="single" w:sz="4" w:space="0" w:color="000000"/>
            </w:tcBorders>
            <w:shd w:val="clear" w:color="auto" w:fill="auto"/>
            <w:noWrap/>
            <w:vAlign w:val="center"/>
            <w:hideMark/>
          </w:tcPr>
          <w:p w14:paraId="7B9A9C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36 468</w:t>
            </w:r>
          </w:p>
        </w:tc>
        <w:tc>
          <w:tcPr>
            <w:tcW w:w="1275" w:type="dxa"/>
            <w:tcBorders>
              <w:top w:val="nil"/>
              <w:left w:val="nil"/>
              <w:bottom w:val="single" w:sz="4" w:space="0" w:color="000000"/>
              <w:right w:val="single" w:sz="4" w:space="0" w:color="000000"/>
            </w:tcBorders>
            <w:shd w:val="clear" w:color="auto" w:fill="auto"/>
            <w:noWrap/>
            <w:vAlign w:val="center"/>
            <w:hideMark/>
          </w:tcPr>
          <w:p w14:paraId="756D47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38 945</w:t>
            </w:r>
          </w:p>
        </w:tc>
        <w:tc>
          <w:tcPr>
            <w:tcW w:w="1275" w:type="dxa"/>
            <w:tcBorders>
              <w:top w:val="nil"/>
              <w:left w:val="nil"/>
              <w:bottom w:val="single" w:sz="4" w:space="0" w:color="000000"/>
              <w:right w:val="single" w:sz="4" w:space="0" w:color="000000"/>
            </w:tcBorders>
            <w:shd w:val="clear" w:color="auto" w:fill="auto"/>
            <w:noWrap/>
            <w:vAlign w:val="center"/>
            <w:hideMark/>
          </w:tcPr>
          <w:p w14:paraId="7C6FBB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40 121</w:t>
            </w:r>
          </w:p>
        </w:tc>
        <w:tc>
          <w:tcPr>
            <w:tcW w:w="1277" w:type="dxa"/>
            <w:tcBorders>
              <w:top w:val="nil"/>
              <w:left w:val="nil"/>
              <w:bottom w:val="single" w:sz="4" w:space="0" w:color="000000"/>
              <w:right w:val="single" w:sz="4" w:space="0" w:color="000000"/>
            </w:tcBorders>
            <w:shd w:val="clear" w:color="auto" w:fill="auto"/>
            <w:noWrap/>
            <w:vAlign w:val="center"/>
            <w:hideMark/>
          </w:tcPr>
          <w:p w14:paraId="657B20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40 545</w:t>
            </w:r>
          </w:p>
        </w:tc>
        <w:tc>
          <w:tcPr>
            <w:tcW w:w="1276" w:type="dxa"/>
            <w:tcBorders>
              <w:top w:val="nil"/>
              <w:left w:val="nil"/>
              <w:bottom w:val="single" w:sz="4" w:space="0" w:color="000000"/>
              <w:right w:val="single" w:sz="4" w:space="0" w:color="000000"/>
            </w:tcBorders>
            <w:shd w:val="clear" w:color="auto" w:fill="auto"/>
            <w:noWrap/>
            <w:vAlign w:val="center"/>
            <w:hideMark/>
          </w:tcPr>
          <w:p w14:paraId="3F8D9C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41 000</w:t>
            </w:r>
          </w:p>
        </w:tc>
        <w:tc>
          <w:tcPr>
            <w:tcW w:w="1275" w:type="dxa"/>
            <w:tcBorders>
              <w:top w:val="nil"/>
              <w:left w:val="nil"/>
              <w:bottom w:val="single" w:sz="4" w:space="0" w:color="000000"/>
              <w:right w:val="single" w:sz="4" w:space="0" w:color="000000"/>
            </w:tcBorders>
            <w:shd w:val="clear" w:color="auto" w:fill="auto"/>
            <w:noWrap/>
            <w:vAlign w:val="center"/>
            <w:hideMark/>
          </w:tcPr>
          <w:p w14:paraId="36ADA8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41 500</w:t>
            </w:r>
          </w:p>
        </w:tc>
      </w:tr>
      <w:tr w:rsidR="00996507" w:rsidRPr="00996507" w14:paraId="623CC242" w14:textId="77777777" w:rsidTr="00996507">
        <w:trPr>
          <w:trHeight w:val="510"/>
        </w:trPr>
        <w:tc>
          <w:tcPr>
            <w:tcW w:w="1701" w:type="dxa"/>
            <w:tcBorders>
              <w:top w:val="nil"/>
              <w:left w:val="single" w:sz="4" w:space="0" w:color="auto"/>
              <w:bottom w:val="single" w:sz="4" w:space="0" w:color="auto"/>
              <w:right w:val="single" w:sz="4" w:space="0" w:color="auto"/>
            </w:tcBorders>
            <w:shd w:val="clear" w:color="000000" w:fill="FFFFFF"/>
            <w:hideMark/>
          </w:tcPr>
          <w:p w14:paraId="6CC58E6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Экономическое развитие</w:t>
            </w:r>
          </w:p>
        </w:tc>
        <w:tc>
          <w:tcPr>
            <w:tcW w:w="4378" w:type="dxa"/>
            <w:tcBorders>
              <w:top w:val="nil"/>
              <w:left w:val="nil"/>
              <w:bottom w:val="single" w:sz="4" w:space="0" w:color="auto"/>
              <w:right w:val="single" w:sz="4" w:space="0" w:color="auto"/>
            </w:tcBorders>
            <w:shd w:val="clear" w:color="000000" w:fill="FFFFFF"/>
            <w:hideMark/>
          </w:tcPr>
          <w:p w14:paraId="71F3EFA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населения в возрасте 3-79 лет на 1 января отчетного года</w:t>
            </w:r>
          </w:p>
        </w:tc>
        <w:tc>
          <w:tcPr>
            <w:tcW w:w="1151" w:type="dxa"/>
            <w:tcBorders>
              <w:top w:val="nil"/>
              <w:left w:val="nil"/>
              <w:bottom w:val="single" w:sz="4" w:space="0" w:color="auto"/>
              <w:right w:val="single" w:sz="4" w:space="0" w:color="auto"/>
            </w:tcBorders>
            <w:shd w:val="clear" w:color="000000" w:fill="FFFFFF"/>
            <w:hideMark/>
          </w:tcPr>
          <w:p w14:paraId="363D16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08DA34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23.5</w:t>
            </w:r>
          </w:p>
        </w:tc>
        <w:tc>
          <w:tcPr>
            <w:tcW w:w="1276" w:type="dxa"/>
            <w:tcBorders>
              <w:top w:val="nil"/>
              <w:left w:val="nil"/>
              <w:bottom w:val="single" w:sz="4" w:space="0" w:color="000000"/>
              <w:right w:val="single" w:sz="4" w:space="0" w:color="000000"/>
            </w:tcBorders>
            <w:shd w:val="clear" w:color="auto" w:fill="auto"/>
            <w:noWrap/>
            <w:vAlign w:val="center"/>
            <w:hideMark/>
          </w:tcPr>
          <w:p w14:paraId="34BE893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CA26DA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89 530</w:t>
            </w:r>
          </w:p>
        </w:tc>
        <w:tc>
          <w:tcPr>
            <w:tcW w:w="1275" w:type="dxa"/>
            <w:tcBorders>
              <w:top w:val="nil"/>
              <w:left w:val="nil"/>
              <w:bottom w:val="single" w:sz="4" w:space="0" w:color="000000"/>
              <w:right w:val="single" w:sz="4" w:space="0" w:color="000000"/>
            </w:tcBorders>
            <w:shd w:val="clear" w:color="auto" w:fill="auto"/>
            <w:noWrap/>
            <w:vAlign w:val="center"/>
            <w:hideMark/>
          </w:tcPr>
          <w:p w14:paraId="4E5475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91 097</w:t>
            </w:r>
          </w:p>
        </w:tc>
        <w:tc>
          <w:tcPr>
            <w:tcW w:w="1277" w:type="dxa"/>
            <w:tcBorders>
              <w:top w:val="nil"/>
              <w:left w:val="nil"/>
              <w:bottom w:val="single" w:sz="4" w:space="0" w:color="000000"/>
              <w:right w:val="single" w:sz="4" w:space="0" w:color="000000"/>
            </w:tcBorders>
            <w:shd w:val="clear" w:color="auto" w:fill="auto"/>
            <w:noWrap/>
            <w:vAlign w:val="center"/>
            <w:hideMark/>
          </w:tcPr>
          <w:p w14:paraId="193B22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92 874</w:t>
            </w:r>
          </w:p>
        </w:tc>
        <w:tc>
          <w:tcPr>
            <w:tcW w:w="1276" w:type="dxa"/>
            <w:tcBorders>
              <w:top w:val="nil"/>
              <w:left w:val="nil"/>
              <w:bottom w:val="single" w:sz="4" w:space="0" w:color="000000"/>
              <w:right w:val="single" w:sz="4" w:space="0" w:color="000000"/>
            </w:tcBorders>
            <w:shd w:val="clear" w:color="auto" w:fill="auto"/>
            <w:noWrap/>
            <w:vAlign w:val="center"/>
            <w:hideMark/>
          </w:tcPr>
          <w:p w14:paraId="0C94AE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94 731</w:t>
            </w:r>
          </w:p>
        </w:tc>
        <w:tc>
          <w:tcPr>
            <w:tcW w:w="1275" w:type="dxa"/>
            <w:tcBorders>
              <w:top w:val="nil"/>
              <w:left w:val="nil"/>
              <w:bottom w:val="single" w:sz="4" w:space="0" w:color="000000"/>
              <w:right w:val="single" w:sz="4" w:space="0" w:color="000000"/>
            </w:tcBorders>
            <w:shd w:val="clear" w:color="auto" w:fill="auto"/>
            <w:noWrap/>
            <w:vAlign w:val="center"/>
            <w:hideMark/>
          </w:tcPr>
          <w:p w14:paraId="3F029C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96 151</w:t>
            </w:r>
          </w:p>
        </w:tc>
      </w:tr>
      <w:tr w:rsidR="00996507" w:rsidRPr="00996507" w14:paraId="1F8416B4" w14:textId="77777777" w:rsidTr="00996507">
        <w:trPr>
          <w:trHeight w:val="76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FF553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Жилищное строительство и обеспечение граждан жильем</w:t>
            </w:r>
          </w:p>
        </w:tc>
        <w:tc>
          <w:tcPr>
            <w:tcW w:w="4378" w:type="dxa"/>
            <w:tcBorders>
              <w:top w:val="nil"/>
              <w:left w:val="nil"/>
              <w:bottom w:val="single" w:sz="4" w:space="0" w:color="auto"/>
              <w:right w:val="single" w:sz="4" w:space="0" w:color="auto"/>
            </w:tcBorders>
            <w:shd w:val="clear" w:color="000000" w:fill="FFFFFF"/>
            <w:hideMark/>
          </w:tcPr>
          <w:p w14:paraId="1192AEC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жилых помещений, приходящаяся в среднем на одного жителя, - всего</w:t>
            </w:r>
          </w:p>
        </w:tc>
        <w:tc>
          <w:tcPr>
            <w:tcW w:w="1151" w:type="dxa"/>
            <w:tcBorders>
              <w:top w:val="nil"/>
              <w:left w:val="nil"/>
              <w:bottom w:val="single" w:sz="4" w:space="0" w:color="auto"/>
              <w:right w:val="single" w:sz="4" w:space="0" w:color="auto"/>
            </w:tcBorders>
            <w:shd w:val="clear" w:color="000000" w:fill="FFFFFF"/>
            <w:hideMark/>
          </w:tcPr>
          <w:p w14:paraId="4346B88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0B2185B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24</w:t>
            </w:r>
          </w:p>
        </w:tc>
        <w:tc>
          <w:tcPr>
            <w:tcW w:w="1276" w:type="dxa"/>
            <w:tcBorders>
              <w:top w:val="nil"/>
              <w:left w:val="nil"/>
              <w:bottom w:val="single" w:sz="4" w:space="0" w:color="000000"/>
              <w:right w:val="single" w:sz="4" w:space="0" w:color="000000"/>
            </w:tcBorders>
            <w:shd w:val="clear" w:color="auto" w:fill="auto"/>
            <w:noWrap/>
            <w:vAlign w:val="center"/>
            <w:hideMark/>
          </w:tcPr>
          <w:p w14:paraId="20133D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21,1</w:t>
            </w:r>
          </w:p>
        </w:tc>
        <w:tc>
          <w:tcPr>
            <w:tcW w:w="1275" w:type="dxa"/>
            <w:tcBorders>
              <w:top w:val="nil"/>
              <w:left w:val="nil"/>
              <w:bottom w:val="single" w:sz="4" w:space="0" w:color="000000"/>
              <w:right w:val="single" w:sz="4" w:space="0" w:color="000000"/>
            </w:tcBorders>
            <w:shd w:val="clear" w:color="auto" w:fill="auto"/>
            <w:noWrap/>
            <w:vAlign w:val="center"/>
            <w:hideMark/>
          </w:tcPr>
          <w:p w14:paraId="1D38D0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23,6</w:t>
            </w:r>
          </w:p>
        </w:tc>
        <w:tc>
          <w:tcPr>
            <w:tcW w:w="1275" w:type="dxa"/>
            <w:tcBorders>
              <w:top w:val="nil"/>
              <w:left w:val="nil"/>
              <w:bottom w:val="single" w:sz="4" w:space="0" w:color="000000"/>
              <w:right w:val="single" w:sz="4" w:space="0" w:color="000000"/>
            </w:tcBorders>
            <w:shd w:val="clear" w:color="auto" w:fill="auto"/>
            <w:noWrap/>
            <w:vAlign w:val="center"/>
            <w:hideMark/>
          </w:tcPr>
          <w:p w14:paraId="27B204C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24,4</w:t>
            </w:r>
          </w:p>
        </w:tc>
        <w:tc>
          <w:tcPr>
            <w:tcW w:w="1277" w:type="dxa"/>
            <w:tcBorders>
              <w:top w:val="nil"/>
              <w:left w:val="nil"/>
              <w:bottom w:val="single" w:sz="4" w:space="0" w:color="000000"/>
              <w:right w:val="single" w:sz="4" w:space="0" w:color="000000"/>
            </w:tcBorders>
            <w:shd w:val="clear" w:color="auto" w:fill="auto"/>
            <w:noWrap/>
            <w:vAlign w:val="center"/>
            <w:hideMark/>
          </w:tcPr>
          <w:p w14:paraId="736F2E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21,9</w:t>
            </w:r>
          </w:p>
        </w:tc>
        <w:tc>
          <w:tcPr>
            <w:tcW w:w="1276" w:type="dxa"/>
            <w:tcBorders>
              <w:top w:val="nil"/>
              <w:left w:val="nil"/>
              <w:bottom w:val="single" w:sz="4" w:space="0" w:color="000000"/>
              <w:right w:val="single" w:sz="4" w:space="0" w:color="000000"/>
            </w:tcBorders>
            <w:shd w:val="clear" w:color="auto" w:fill="auto"/>
            <w:noWrap/>
            <w:vAlign w:val="center"/>
            <w:hideMark/>
          </w:tcPr>
          <w:p w14:paraId="0B4858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22,0</w:t>
            </w:r>
          </w:p>
        </w:tc>
        <w:tc>
          <w:tcPr>
            <w:tcW w:w="1275" w:type="dxa"/>
            <w:tcBorders>
              <w:top w:val="nil"/>
              <w:left w:val="nil"/>
              <w:bottom w:val="single" w:sz="4" w:space="0" w:color="000000"/>
              <w:right w:val="single" w:sz="4" w:space="0" w:color="000000"/>
            </w:tcBorders>
            <w:shd w:val="clear" w:color="auto" w:fill="auto"/>
            <w:noWrap/>
            <w:vAlign w:val="center"/>
            <w:hideMark/>
          </w:tcPr>
          <w:p w14:paraId="716735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22,0</w:t>
            </w:r>
          </w:p>
        </w:tc>
      </w:tr>
      <w:tr w:rsidR="00996507" w:rsidRPr="00996507" w14:paraId="3B558C47"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967C8D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D90A4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151" w:type="dxa"/>
            <w:tcBorders>
              <w:top w:val="nil"/>
              <w:left w:val="nil"/>
              <w:bottom w:val="single" w:sz="4" w:space="0" w:color="auto"/>
              <w:right w:val="single" w:sz="4" w:space="0" w:color="auto"/>
            </w:tcBorders>
            <w:shd w:val="clear" w:color="000000" w:fill="FFFFFF"/>
            <w:hideMark/>
          </w:tcPr>
          <w:p w14:paraId="01070F7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06E853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24.1</w:t>
            </w:r>
          </w:p>
        </w:tc>
        <w:tc>
          <w:tcPr>
            <w:tcW w:w="1276" w:type="dxa"/>
            <w:tcBorders>
              <w:top w:val="nil"/>
              <w:left w:val="nil"/>
              <w:bottom w:val="single" w:sz="4" w:space="0" w:color="000000"/>
              <w:right w:val="single" w:sz="4" w:space="0" w:color="000000"/>
            </w:tcBorders>
            <w:shd w:val="clear" w:color="auto" w:fill="auto"/>
            <w:noWrap/>
            <w:vAlign w:val="center"/>
            <w:hideMark/>
          </w:tcPr>
          <w:p w14:paraId="19C6A3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5" w:type="dxa"/>
            <w:tcBorders>
              <w:top w:val="nil"/>
              <w:left w:val="nil"/>
              <w:bottom w:val="single" w:sz="4" w:space="0" w:color="000000"/>
              <w:right w:val="single" w:sz="4" w:space="0" w:color="000000"/>
            </w:tcBorders>
            <w:shd w:val="clear" w:color="auto" w:fill="auto"/>
            <w:noWrap/>
            <w:vAlign w:val="center"/>
            <w:hideMark/>
          </w:tcPr>
          <w:p w14:paraId="747CC29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w:t>
            </w:r>
          </w:p>
        </w:tc>
        <w:tc>
          <w:tcPr>
            <w:tcW w:w="1275" w:type="dxa"/>
            <w:tcBorders>
              <w:top w:val="nil"/>
              <w:left w:val="nil"/>
              <w:bottom w:val="single" w:sz="4" w:space="0" w:color="000000"/>
              <w:right w:val="single" w:sz="4" w:space="0" w:color="000000"/>
            </w:tcBorders>
            <w:shd w:val="clear" w:color="auto" w:fill="auto"/>
            <w:noWrap/>
            <w:vAlign w:val="center"/>
            <w:hideMark/>
          </w:tcPr>
          <w:p w14:paraId="714291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w:t>
            </w:r>
          </w:p>
        </w:tc>
        <w:tc>
          <w:tcPr>
            <w:tcW w:w="1277" w:type="dxa"/>
            <w:tcBorders>
              <w:top w:val="nil"/>
              <w:left w:val="nil"/>
              <w:bottom w:val="single" w:sz="4" w:space="0" w:color="000000"/>
              <w:right w:val="single" w:sz="4" w:space="0" w:color="000000"/>
            </w:tcBorders>
            <w:shd w:val="clear" w:color="auto" w:fill="auto"/>
            <w:noWrap/>
            <w:vAlign w:val="center"/>
            <w:hideMark/>
          </w:tcPr>
          <w:p w14:paraId="21E2630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6" w:type="dxa"/>
            <w:tcBorders>
              <w:top w:val="nil"/>
              <w:left w:val="nil"/>
              <w:bottom w:val="single" w:sz="4" w:space="0" w:color="000000"/>
              <w:right w:val="single" w:sz="4" w:space="0" w:color="000000"/>
            </w:tcBorders>
            <w:shd w:val="clear" w:color="auto" w:fill="auto"/>
            <w:noWrap/>
            <w:vAlign w:val="center"/>
            <w:hideMark/>
          </w:tcPr>
          <w:p w14:paraId="04FE407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5" w:type="dxa"/>
            <w:tcBorders>
              <w:top w:val="nil"/>
              <w:left w:val="nil"/>
              <w:bottom w:val="single" w:sz="4" w:space="0" w:color="000000"/>
              <w:right w:val="single" w:sz="4" w:space="0" w:color="000000"/>
            </w:tcBorders>
            <w:shd w:val="clear" w:color="auto" w:fill="auto"/>
            <w:noWrap/>
            <w:vAlign w:val="center"/>
            <w:hideMark/>
          </w:tcPr>
          <w:p w14:paraId="28FADF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r>
      <w:tr w:rsidR="00996507" w:rsidRPr="00996507" w14:paraId="5066F20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BF34A9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F80A78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расчете на 10 тыс. человек населения, - всего</w:t>
            </w:r>
          </w:p>
        </w:tc>
        <w:tc>
          <w:tcPr>
            <w:tcW w:w="1151" w:type="dxa"/>
            <w:tcBorders>
              <w:top w:val="nil"/>
              <w:left w:val="nil"/>
              <w:bottom w:val="single" w:sz="4" w:space="0" w:color="auto"/>
              <w:right w:val="single" w:sz="4" w:space="0" w:color="auto"/>
            </w:tcBorders>
            <w:shd w:val="clear" w:color="000000" w:fill="FFFFFF"/>
            <w:hideMark/>
          </w:tcPr>
          <w:p w14:paraId="25A763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218F930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000000"/>
              <w:right w:val="single" w:sz="4" w:space="0" w:color="000000"/>
            </w:tcBorders>
            <w:shd w:val="clear" w:color="000000" w:fill="C0C0C0"/>
            <w:noWrap/>
            <w:vAlign w:val="center"/>
            <w:hideMark/>
          </w:tcPr>
          <w:p w14:paraId="1C0790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16,1</w:t>
            </w:r>
          </w:p>
        </w:tc>
        <w:tc>
          <w:tcPr>
            <w:tcW w:w="1275" w:type="dxa"/>
            <w:tcBorders>
              <w:top w:val="nil"/>
              <w:left w:val="nil"/>
              <w:bottom w:val="single" w:sz="4" w:space="0" w:color="000000"/>
              <w:right w:val="single" w:sz="4" w:space="0" w:color="000000"/>
            </w:tcBorders>
            <w:shd w:val="clear" w:color="000000" w:fill="C0C0C0"/>
            <w:noWrap/>
            <w:vAlign w:val="center"/>
            <w:hideMark/>
          </w:tcPr>
          <w:p w14:paraId="694A5FC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16,2</w:t>
            </w:r>
          </w:p>
        </w:tc>
        <w:tc>
          <w:tcPr>
            <w:tcW w:w="1275" w:type="dxa"/>
            <w:tcBorders>
              <w:top w:val="nil"/>
              <w:left w:val="nil"/>
              <w:bottom w:val="single" w:sz="4" w:space="0" w:color="000000"/>
              <w:right w:val="single" w:sz="4" w:space="0" w:color="000000"/>
            </w:tcBorders>
            <w:shd w:val="clear" w:color="000000" w:fill="C0C0C0"/>
            <w:noWrap/>
            <w:vAlign w:val="center"/>
            <w:hideMark/>
          </w:tcPr>
          <w:p w14:paraId="65498A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16,5</w:t>
            </w:r>
          </w:p>
        </w:tc>
        <w:tc>
          <w:tcPr>
            <w:tcW w:w="1277" w:type="dxa"/>
            <w:tcBorders>
              <w:top w:val="nil"/>
              <w:left w:val="nil"/>
              <w:bottom w:val="single" w:sz="4" w:space="0" w:color="000000"/>
              <w:right w:val="single" w:sz="4" w:space="0" w:color="000000"/>
            </w:tcBorders>
            <w:shd w:val="clear" w:color="000000" w:fill="C0C0C0"/>
            <w:noWrap/>
            <w:vAlign w:val="center"/>
            <w:hideMark/>
          </w:tcPr>
          <w:p w14:paraId="5140C0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16,4</w:t>
            </w:r>
          </w:p>
        </w:tc>
        <w:tc>
          <w:tcPr>
            <w:tcW w:w="1276" w:type="dxa"/>
            <w:tcBorders>
              <w:top w:val="nil"/>
              <w:left w:val="nil"/>
              <w:bottom w:val="single" w:sz="4" w:space="0" w:color="000000"/>
              <w:right w:val="single" w:sz="4" w:space="0" w:color="000000"/>
            </w:tcBorders>
            <w:shd w:val="clear" w:color="000000" w:fill="C0C0C0"/>
            <w:noWrap/>
            <w:vAlign w:val="center"/>
            <w:hideMark/>
          </w:tcPr>
          <w:p w14:paraId="3C1865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16,2</w:t>
            </w:r>
          </w:p>
        </w:tc>
        <w:tc>
          <w:tcPr>
            <w:tcW w:w="1275" w:type="dxa"/>
            <w:tcBorders>
              <w:top w:val="nil"/>
              <w:left w:val="nil"/>
              <w:bottom w:val="single" w:sz="4" w:space="0" w:color="000000"/>
              <w:right w:val="single" w:sz="4" w:space="0" w:color="000000"/>
            </w:tcBorders>
            <w:shd w:val="clear" w:color="000000" w:fill="C0C0C0"/>
            <w:noWrap/>
            <w:vAlign w:val="center"/>
            <w:hideMark/>
          </w:tcPr>
          <w:p w14:paraId="0F0BBD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16,0</w:t>
            </w:r>
          </w:p>
        </w:tc>
      </w:tr>
      <w:tr w:rsidR="00996507" w:rsidRPr="00996507" w14:paraId="653D192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86094F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C40BDE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6AC2E4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51D4F19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25.1</w:t>
            </w:r>
          </w:p>
        </w:tc>
        <w:tc>
          <w:tcPr>
            <w:tcW w:w="1276" w:type="dxa"/>
            <w:tcBorders>
              <w:top w:val="nil"/>
              <w:left w:val="nil"/>
              <w:bottom w:val="single" w:sz="4" w:space="0" w:color="000000"/>
              <w:right w:val="single" w:sz="4" w:space="0" w:color="000000"/>
            </w:tcBorders>
            <w:shd w:val="clear" w:color="000000" w:fill="C0C0C0"/>
            <w:noWrap/>
            <w:vAlign w:val="center"/>
            <w:hideMark/>
          </w:tcPr>
          <w:p w14:paraId="714464F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w:t>
            </w:r>
          </w:p>
        </w:tc>
        <w:tc>
          <w:tcPr>
            <w:tcW w:w="1275" w:type="dxa"/>
            <w:tcBorders>
              <w:top w:val="nil"/>
              <w:left w:val="nil"/>
              <w:bottom w:val="single" w:sz="4" w:space="0" w:color="000000"/>
              <w:right w:val="single" w:sz="4" w:space="0" w:color="000000"/>
            </w:tcBorders>
            <w:shd w:val="clear" w:color="000000" w:fill="C0C0C0"/>
            <w:noWrap/>
            <w:vAlign w:val="center"/>
            <w:hideMark/>
          </w:tcPr>
          <w:p w14:paraId="67E1A2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3,1</w:t>
            </w:r>
          </w:p>
        </w:tc>
        <w:tc>
          <w:tcPr>
            <w:tcW w:w="1275" w:type="dxa"/>
            <w:tcBorders>
              <w:top w:val="nil"/>
              <w:left w:val="nil"/>
              <w:bottom w:val="single" w:sz="4" w:space="0" w:color="000000"/>
              <w:right w:val="single" w:sz="4" w:space="0" w:color="000000"/>
            </w:tcBorders>
            <w:shd w:val="clear" w:color="000000" w:fill="C0C0C0"/>
            <w:noWrap/>
            <w:vAlign w:val="center"/>
            <w:hideMark/>
          </w:tcPr>
          <w:p w14:paraId="561997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7" w:type="dxa"/>
            <w:tcBorders>
              <w:top w:val="nil"/>
              <w:left w:val="nil"/>
              <w:bottom w:val="single" w:sz="4" w:space="0" w:color="000000"/>
              <w:right w:val="single" w:sz="4" w:space="0" w:color="000000"/>
            </w:tcBorders>
            <w:shd w:val="clear" w:color="000000" w:fill="C0C0C0"/>
            <w:noWrap/>
            <w:vAlign w:val="center"/>
            <w:hideMark/>
          </w:tcPr>
          <w:p w14:paraId="2EC6F9A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6" w:type="dxa"/>
            <w:tcBorders>
              <w:top w:val="nil"/>
              <w:left w:val="nil"/>
              <w:bottom w:val="single" w:sz="4" w:space="0" w:color="000000"/>
              <w:right w:val="single" w:sz="4" w:space="0" w:color="000000"/>
            </w:tcBorders>
            <w:shd w:val="clear" w:color="000000" w:fill="C0C0C0"/>
            <w:noWrap/>
            <w:vAlign w:val="center"/>
            <w:hideMark/>
          </w:tcPr>
          <w:p w14:paraId="2264EF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c>
          <w:tcPr>
            <w:tcW w:w="1275" w:type="dxa"/>
            <w:tcBorders>
              <w:top w:val="nil"/>
              <w:left w:val="nil"/>
              <w:bottom w:val="single" w:sz="4" w:space="0" w:color="000000"/>
              <w:right w:val="single" w:sz="4" w:space="0" w:color="000000"/>
            </w:tcBorders>
            <w:shd w:val="clear" w:color="000000" w:fill="C0C0C0"/>
            <w:noWrap/>
            <w:vAlign w:val="center"/>
            <w:hideMark/>
          </w:tcPr>
          <w:p w14:paraId="154724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r>
      <w:tr w:rsidR="00996507" w:rsidRPr="00996507" w14:paraId="6C5424A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73FA98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FA71A7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жилищного строительства, индивидуального строительства</w:t>
            </w:r>
          </w:p>
        </w:tc>
        <w:tc>
          <w:tcPr>
            <w:tcW w:w="1151" w:type="dxa"/>
            <w:tcBorders>
              <w:top w:val="nil"/>
              <w:left w:val="nil"/>
              <w:bottom w:val="single" w:sz="4" w:space="0" w:color="auto"/>
              <w:right w:val="single" w:sz="4" w:space="0" w:color="auto"/>
            </w:tcBorders>
            <w:shd w:val="clear" w:color="000000" w:fill="FFFFFF"/>
            <w:hideMark/>
          </w:tcPr>
          <w:p w14:paraId="78AFEE1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04D1F7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25.1.1</w:t>
            </w:r>
          </w:p>
        </w:tc>
        <w:tc>
          <w:tcPr>
            <w:tcW w:w="1276" w:type="dxa"/>
            <w:tcBorders>
              <w:top w:val="nil"/>
              <w:left w:val="nil"/>
              <w:bottom w:val="single" w:sz="4" w:space="0" w:color="000000"/>
              <w:right w:val="single" w:sz="4" w:space="0" w:color="000000"/>
            </w:tcBorders>
            <w:shd w:val="clear" w:color="auto" w:fill="auto"/>
            <w:noWrap/>
            <w:vAlign w:val="center"/>
            <w:hideMark/>
          </w:tcPr>
          <w:p w14:paraId="79BC62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28,2</w:t>
            </w:r>
          </w:p>
        </w:tc>
        <w:tc>
          <w:tcPr>
            <w:tcW w:w="1275" w:type="dxa"/>
            <w:tcBorders>
              <w:top w:val="nil"/>
              <w:left w:val="nil"/>
              <w:bottom w:val="single" w:sz="4" w:space="0" w:color="000000"/>
              <w:right w:val="single" w:sz="4" w:space="0" w:color="000000"/>
            </w:tcBorders>
            <w:shd w:val="clear" w:color="auto" w:fill="auto"/>
            <w:noWrap/>
            <w:vAlign w:val="center"/>
            <w:hideMark/>
          </w:tcPr>
          <w:p w14:paraId="4B27657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29,6</w:t>
            </w:r>
          </w:p>
        </w:tc>
        <w:tc>
          <w:tcPr>
            <w:tcW w:w="1275" w:type="dxa"/>
            <w:tcBorders>
              <w:top w:val="nil"/>
              <w:left w:val="nil"/>
              <w:bottom w:val="single" w:sz="4" w:space="0" w:color="000000"/>
              <w:right w:val="single" w:sz="4" w:space="0" w:color="000000"/>
            </w:tcBorders>
            <w:shd w:val="clear" w:color="auto" w:fill="auto"/>
            <w:noWrap/>
            <w:vAlign w:val="center"/>
            <w:hideMark/>
          </w:tcPr>
          <w:p w14:paraId="416D08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32,3</w:t>
            </w:r>
          </w:p>
        </w:tc>
        <w:tc>
          <w:tcPr>
            <w:tcW w:w="1277" w:type="dxa"/>
            <w:tcBorders>
              <w:top w:val="nil"/>
              <w:left w:val="nil"/>
              <w:bottom w:val="single" w:sz="4" w:space="0" w:color="000000"/>
              <w:right w:val="single" w:sz="4" w:space="0" w:color="000000"/>
            </w:tcBorders>
            <w:shd w:val="clear" w:color="auto" w:fill="auto"/>
            <w:noWrap/>
            <w:vAlign w:val="center"/>
            <w:hideMark/>
          </w:tcPr>
          <w:p w14:paraId="0EDB02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33,3</w:t>
            </w:r>
          </w:p>
        </w:tc>
        <w:tc>
          <w:tcPr>
            <w:tcW w:w="1276" w:type="dxa"/>
            <w:tcBorders>
              <w:top w:val="nil"/>
              <w:left w:val="nil"/>
              <w:bottom w:val="single" w:sz="4" w:space="0" w:color="000000"/>
              <w:right w:val="single" w:sz="4" w:space="0" w:color="000000"/>
            </w:tcBorders>
            <w:shd w:val="clear" w:color="auto" w:fill="auto"/>
            <w:noWrap/>
            <w:vAlign w:val="center"/>
            <w:hideMark/>
          </w:tcPr>
          <w:p w14:paraId="02F2A3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34,2</w:t>
            </w:r>
          </w:p>
        </w:tc>
        <w:tc>
          <w:tcPr>
            <w:tcW w:w="1275" w:type="dxa"/>
            <w:tcBorders>
              <w:top w:val="nil"/>
              <w:left w:val="nil"/>
              <w:bottom w:val="single" w:sz="4" w:space="0" w:color="000000"/>
              <w:right w:val="single" w:sz="4" w:space="0" w:color="000000"/>
            </w:tcBorders>
            <w:shd w:val="clear" w:color="auto" w:fill="auto"/>
            <w:noWrap/>
            <w:vAlign w:val="center"/>
            <w:hideMark/>
          </w:tcPr>
          <w:p w14:paraId="318592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35,2</w:t>
            </w:r>
          </w:p>
        </w:tc>
      </w:tr>
      <w:tr w:rsidR="00996507" w:rsidRPr="00996507" w14:paraId="5CD8B9B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31028E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DFE5CA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3235E6D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58E65E7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25.2</w:t>
            </w:r>
          </w:p>
        </w:tc>
        <w:tc>
          <w:tcPr>
            <w:tcW w:w="1276" w:type="dxa"/>
            <w:tcBorders>
              <w:top w:val="nil"/>
              <w:left w:val="nil"/>
              <w:bottom w:val="single" w:sz="4" w:space="0" w:color="000000"/>
              <w:right w:val="single" w:sz="4" w:space="0" w:color="000000"/>
            </w:tcBorders>
            <w:shd w:val="clear" w:color="000000" w:fill="C0C0C0"/>
            <w:noWrap/>
            <w:vAlign w:val="center"/>
            <w:hideMark/>
          </w:tcPr>
          <w:p w14:paraId="18C3AF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638AB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7251E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1621A4A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3B55F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00F0FA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774967A6"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159438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87F587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комплексного освоения в целях жилищного строительства</w:t>
            </w:r>
          </w:p>
        </w:tc>
        <w:tc>
          <w:tcPr>
            <w:tcW w:w="1151" w:type="dxa"/>
            <w:tcBorders>
              <w:top w:val="nil"/>
              <w:left w:val="nil"/>
              <w:bottom w:val="single" w:sz="4" w:space="0" w:color="auto"/>
              <w:right w:val="single" w:sz="4" w:space="0" w:color="auto"/>
            </w:tcBorders>
            <w:shd w:val="clear" w:color="000000" w:fill="FFFFFF"/>
            <w:hideMark/>
          </w:tcPr>
          <w:p w14:paraId="2870EA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0ED4A0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25.2.1</w:t>
            </w:r>
          </w:p>
        </w:tc>
        <w:tc>
          <w:tcPr>
            <w:tcW w:w="1276" w:type="dxa"/>
            <w:tcBorders>
              <w:top w:val="nil"/>
              <w:left w:val="nil"/>
              <w:bottom w:val="single" w:sz="4" w:space="0" w:color="000000"/>
              <w:right w:val="single" w:sz="4" w:space="0" w:color="000000"/>
            </w:tcBorders>
            <w:shd w:val="clear" w:color="auto" w:fill="auto"/>
            <w:noWrap/>
            <w:vAlign w:val="center"/>
            <w:hideMark/>
          </w:tcPr>
          <w:p w14:paraId="0E2609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455090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D4900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6498B0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50CAB0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0ADA64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3D69117"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61A55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3C9B7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всего</w:t>
            </w:r>
          </w:p>
        </w:tc>
        <w:tc>
          <w:tcPr>
            <w:tcW w:w="1151" w:type="dxa"/>
            <w:tcBorders>
              <w:top w:val="nil"/>
              <w:left w:val="nil"/>
              <w:bottom w:val="single" w:sz="4" w:space="0" w:color="auto"/>
              <w:right w:val="single" w:sz="4" w:space="0" w:color="auto"/>
            </w:tcBorders>
            <w:shd w:val="clear" w:color="000000" w:fill="FFFFFF"/>
            <w:hideMark/>
          </w:tcPr>
          <w:p w14:paraId="6F2558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06B00EE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25.3</w:t>
            </w:r>
          </w:p>
        </w:tc>
        <w:tc>
          <w:tcPr>
            <w:tcW w:w="1276" w:type="dxa"/>
            <w:tcBorders>
              <w:top w:val="nil"/>
              <w:left w:val="nil"/>
              <w:bottom w:val="single" w:sz="4" w:space="0" w:color="000000"/>
              <w:right w:val="single" w:sz="4" w:space="0" w:color="000000"/>
            </w:tcBorders>
            <w:shd w:val="clear" w:color="auto" w:fill="auto"/>
            <w:noWrap/>
            <w:vAlign w:val="center"/>
            <w:hideMark/>
          </w:tcPr>
          <w:p w14:paraId="2B3819C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152,3</w:t>
            </w:r>
          </w:p>
        </w:tc>
        <w:tc>
          <w:tcPr>
            <w:tcW w:w="1275" w:type="dxa"/>
            <w:tcBorders>
              <w:top w:val="nil"/>
              <w:left w:val="nil"/>
              <w:bottom w:val="single" w:sz="4" w:space="0" w:color="000000"/>
              <w:right w:val="single" w:sz="4" w:space="0" w:color="000000"/>
            </w:tcBorders>
            <w:shd w:val="clear" w:color="auto" w:fill="auto"/>
            <w:noWrap/>
            <w:vAlign w:val="center"/>
            <w:hideMark/>
          </w:tcPr>
          <w:p w14:paraId="2241655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156,0</w:t>
            </w:r>
          </w:p>
        </w:tc>
        <w:tc>
          <w:tcPr>
            <w:tcW w:w="1275" w:type="dxa"/>
            <w:tcBorders>
              <w:top w:val="nil"/>
              <w:left w:val="nil"/>
              <w:bottom w:val="single" w:sz="4" w:space="0" w:color="000000"/>
              <w:right w:val="single" w:sz="4" w:space="0" w:color="000000"/>
            </w:tcBorders>
            <w:shd w:val="clear" w:color="auto" w:fill="auto"/>
            <w:noWrap/>
            <w:vAlign w:val="center"/>
            <w:hideMark/>
          </w:tcPr>
          <w:p w14:paraId="41D9C5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161,4</w:t>
            </w:r>
          </w:p>
        </w:tc>
        <w:tc>
          <w:tcPr>
            <w:tcW w:w="1277" w:type="dxa"/>
            <w:tcBorders>
              <w:top w:val="nil"/>
              <w:left w:val="nil"/>
              <w:bottom w:val="single" w:sz="4" w:space="0" w:color="000000"/>
              <w:right w:val="single" w:sz="4" w:space="0" w:color="000000"/>
            </w:tcBorders>
            <w:shd w:val="clear" w:color="auto" w:fill="auto"/>
            <w:noWrap/>
            <w:vAlign w:val="center"/>
            <w:hideMark/>
          </w:tcPr>
          <w:p w14:paraId="5A7896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163,4</w:t>
            </w:r>
          </w:p>
        </w:tc>
        <w:tc>
          <w:tcPr>
            <w:tcW w:w="1276" w:type="dxa"/>
            <w:tcBorders>
              <w:top w:val="nil"/>
              <w:left w:val="nil"/>
              <w:bottom w:val="single" w:sz="4" w:space="0" w:color="000000"/>
              <w:right w:val="single" w:sz="4" w:space="0" w:color="000000"/>
            </w:tcBorders>
            <w:shd w:val="clear" w:color="auto" w:fill="auto"/>
            <w:noWrap/>
            <w:vAlign w:val="center"/>
            <w:hideMark/>
          </w:tcPr>
          <w:p w14:paraId="5F32C8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164,4</w:t>
            </w:r>
          </w:p>
        </w:tc>
        <w:tc>
          <w:tcPr>
            <w:tcW w:w="1275" w:type="dxa"/>
            <w:tcBorders>
              <w:top w:val="nil"/>
              <w:left w:val="nil"/>
              <w:bottom w:val="single" w:sz="4" w:space="0" w:color="000000"/>
              <w:right w:val="single" w:sz="4" w:space="0" w:color="000000"/>
            </w:tcBorders>
            <w:shd w:val="clear" w:color="auto" w:fill="auto"/>
            <w:noWrap/>
            <w:vAlign w:val="center"/>
            <w:hideMark/>
          </w:tcPr>
          <w:p w14:paraId="3A5116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165,3</w:t>
            </w:r>
          </w:p>
        </w:tc>
      </w:tr>
      <w:tr w:rsidR="00996507" w:rsidRPr="00996507" w14:paraId="3D3B1665"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6989075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8EC0C6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1151" w:type="dxa"/>
            <w:tcBorders>
              <w:top w:val="nil"/>
              <w:left w:val="nil"/>
              <w:bottom w:val="single" w:sz="4" w:space="0" w:color="auto"/>
              <w:right w:val="single" w:sz="4" w:space="0" w:color="auto"/>
            </w:tcBorders>
            <w:shd w:val="clear" w:color="000000" w:fill="FFFFFF"/>
            <w:hideMark/>
          </w:tcPr>
          <w:p w14:paraId="22A44C7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4165FE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25.4</w:t>
            </w:r>
          </w:p>
        </w:tc>
        <w:tc>
          <w:tcPr>
            <w:tcW w:w="1276" w:type="dxa"/>
            <w:tcBorders>
              <w:top w:val="nil"/>
              <w:left w:val="nil"/>
              <w:bottom w:val="single" w:sz="4" w:space="0" w:color="000000"/>
              <w:right w:val="single" w:sz="4" w:space="0" w:color="000000"/>
            </w:tcBorders>
            <w:shd w:val="clear" w:color="000000" w:fill="C0C0C0"/>
            <w:noWrap/>
            <w:vAlign w:val="center"/>
            <w:hideMark/>
          </w:tcPr>
          <w:p w14:paraId="3969DF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w:t>
            </w:r>
          </w:p>
        </w:tc>
        <w:tc>
          <w:tcPr>
            <w:tcW w:w="1275" w:type="dxa"/>
            <w:tcBorders>
              <w:top w:val="nil"/>
              <w:left w:val="nil"/>
              <w:bottom w:val="single" w:sz="4" w:space="0" w:color="000000"/>
              <w:right w:val="single" w:sz="4" w:space="0" w:color="000000"/>
            </w:tcBorders>
            <w:shd w:val="clear" w:color="000000" w:fill="C0C0C0"/>
            <w:noWrap/>
            <w:vAlign w:val="center"/>
            <w:hideMark/>
          </w:tcPr>
          <w:p w14:paraId="2DA6C5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3,1</w:t>
            </w:r>
          </w:p>
        </w:tc>
        <w:tc>
          <w:tcPr>
            <w:tcW w:w="1275" w:type="dxa"/>
            <w:tcBorders>
              <w:top w:val="nil"/>
              <w:left w:val="nil"/>
              <w:bottom w:val="single" w:sz="4" w:space="0" w:color="000000"/>
              <w:right w:val="single" w:sz="4" w:space="0" w:color="000000"/>
            </w:tcBorders>
            <w:shd w:val="clear" w:color="000000" w:fill="C0C0C0"/>
            <w:noWrap/>
            <w:vAlign w:val="center"/>
            <w:hideMark/>
          </w:tcPr>
          <w:p w14:paraId="71F7DB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7" w:type="dxa"/>
            <w:tcBorders>
              <w:top w:val="nil"/>
              <w:left w:val="nil"/>
              <w:bottom w:val="single" w:sz="4" w:space="0" w:color="000000"/>
              <w:right w:val="single" w:sz="4" w:space="0" w:color="000000"/>
            </w:tcBorders>
            <w:shd w:val="clear" w:color="000000" w:fill="C0C0C0"/>
            <w:noWrap/>
            <w:vAlign w:val="center"/>
            <w:hideMark/>
          </w:tcPr>
          <w:p w14:paraId="4CA5B6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6" w:type="dxa"/>
            <w:tcBorders>
              <w:top w:val="nil"/>
              <w:left w:val="nil"/>
              <w:bottom w:val="single" w:sz="4" w:space="0" w:color="000000"/>
              <w:right w:val="single" w:sz="4" w:space="0" w:color="000000"/>
            </w:tcBorders>
            <w:shd w:val="clear" w:color="000000" w:fill="C0C0C0"/>
            <w:noWrap/>
            <w:vAlign w:val="center"/>
            <w:hideMark/>
          </w:tcPr>
          <w:p w14:paraId="0C6954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c>
          <w:tcPr>
            <w:tcW w:w="1275" w:type="dxa"/>
            <w:tcBorders>
              <w:top w:val="nil"/>
              <w:left w:val="nil"/>
              <w:bottom w:val="single" w:sz="4" w:space="0" w:color="000000"/>
              <w:right w:val="single" w:sz="4" w:space="0" w:color="000000"/>
            </w:tcBorders>
            <w:shd w:val="clear" w:color="000000" w:fill="C0C0C0"/>
            <w:noWrap/>
            <w:vAlign w:val="center"/>
            <w:hideMark/>
          </w:tcPr>
          <w:p w14:paraId="3FE487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r>
      <w:tr w:rsidR="00996507" w:rsidRPr="00996507" w14:paraId="0110D09F" w14:textId="77777777" w:rsidTr="00996507">
        <w:trPr>
          <w:trHeight w:val="1590"/>
        </w:trPr>
        <w:tc>
          <w:tcPr>
            <w:tcW w:w="1701" w:type="dxa"/>
            <w:vMerge/>
            <w:tcBorders>
              <w:top w:val="nil"/>
              <w:left w:val="single" w:sz="4" w:space="0" w:color="auto"/>
              <w:bottom w:val="single" w:sz="4" w:space="0" w:color="auto"/>
              <w:right w:val="single" w:sz="4" w:space="0" w:color="auto"/>
            </w:tcBorders>
            <w:vAlign w:val="center"/>
            <w:hideMark/>
          </w:tcPr>
          <w:p w14:paraId="1ED706B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A2A900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151" w:type="dxa"/>
            <w:tcBorders>
              <w:top w:val="nil"/>
              <w:left w:val="nil"/>
              <w:bottom w:val="single" w:sz="4" w:space="0" w:color="auto"/>
              <w:right w:val="single" w:sz="4" w:space="0" w:color="auto"/>
            </w:tcBorders>
            <w:shd w:val="clear" w:color="000000" w:fill="FFFFFF"/>
            <w:hideMark/>
          </w:tcPr>
          <w:p w14:paraId="0DE315D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5BC9714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26</w:t>
            </w:r>
          </w:p>
        </w:tc>
        <w:tc>
          <w:tcPr>
            <w:tcW w:w="1276" w:type="dxa"/>
            <w:tcBorders>
              <w:top w:val="nil"/>
              <w:left w:val="nil"/>
              <w:bottom w:val="single" w:sz="4" w:space="0" w:color="000000"/>
              <w:right w:val="single" w:sz="4" w:space="0" w:color="000000"/>
            </w:tcBorders>
            <w:shd w:val="clear" w:color="000000" w:fill="C0C0C0"/>
            <w:noWrap/>
            <w:vAlign w:val="center"/>
            <w:hideMark/>
          </w:tcPr>
          <w:p w14:paraId="5A0CB0E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33EA5EA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413E58B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0FDDCD0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4B0F650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28A29A93"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641953F1" w14:textId="77777777" w:rsidTr="00996507">
        <w:trPr>
          <w:trHeight w:val="2040"/>
        </w:trPr>
        <w:tc>
          <w:tcPr>
            <w:tcW w:w="1701" w:type="dxa"/>
            <w:vMerge/>
            <w:tcBorders>
              <w:top w:val="nil"/>
              <w:left w:val="single" w:sz="4" w:space="0" w:color="auto"/>
              <w:bottom w:val="single" w:sz="4" w:space="0" w:color="auto"/>
              <w:right w:val="single" w:sz="4" w:space="0" w:color="auto"/>
            </w:tcBorders>
            <w:vAlign w:val="center"/>
            <w:hideMark/>
          </w:tcPr>
          <w:p w14:paraId="7D2027B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5A0B46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151" w:type="dxa"/>
            <w:tcBorders>
              <w:top w:val="nil"/>
              <w:left w:val="nil"/>
              <w:bottom w:val="single" w:sz="4" w:space="0" w:color="auto"/>
              <w:right w:val="single" w:sz="4" w:space="0" w:color="auto"/>
            </w:tcBorders>
            <w:shd w:val="clear" w:color="000000" w:fill="FFFFFF"/>
            <w:hideMark/>
          </w:tcPr>
          <w:p w14:paraId="1134E04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348BF07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26.1</w:t>
            </w:r>
          </w:p>
        </w:tc>
        <w:tc>
          <w:tcPr>
            <w:tcW w:w="1276" w:type="dxa"/>
            <w:tcBorders>
              <w:top w:val="nil"/>
              <w:left w:val="nil"/>
              <w:bottom w:val="single" w:sz="4" w:space="0" w:color="000000"/>
              <w:right w:val="single" w:sz="4" w:space="0" w:color="000000"/>
            </w:tcBorders>
            <w:shd w:val="clear" w:color="auto" w:fill="auto"/>
            <w:noWrap/>
            <w:vAlign w:val="center"/>
            <w:hideMark/>
          </w:tcPr>
          <w:p w14:paraId="77959A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416203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81E8E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773AC3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245AED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4F46A4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65FA5078" w14:textId="77777777" w:rsidTr="00996507">
        <w:trPr>
          <w:trHeight w:val="2040"/>
        </w:trPr>
        <w:tc>
          <w:tcPr>
            <w:tcW w:w="1701" w:type="dxa"/>
            <w:vMerge/>
            <w:tcBorders>
              <w:top w:val="nil"/>
              <w:left w:val="single" w:sz="4" w:space="0" w:color="auto"/>
              <w:bottom w:val="single" w:sz="4" w:space="0" w:color="auto"/>
              <w:right w:val="single" w:sz="4" w:space="0" w:color="auto"/>
            </w:tcBorders>
            <w:vAlign w:val="center"/>
            <w:hideMark/>
          </w:tcPr>
          <w:p w14:paraId="3AB6331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AD210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151" w:type="dxa"/>
            <w:tcBorders>
              <w:top w:val="nil"/>
              <w:left w:val="nil"/>
              <w:bottom w:val="single" w:sz="4" w:space="0" w:color="auto"/>
              <w:right w:val="single" w:sz="4" w:space="0" w:color="auto"/>
            </w:tcBorders>
            <w:shd w:val="clear" w:color="000000" w:fill="FFFFFF"/>
            <w:hideMark/>
          </w:tcPr>
          <w:p w14:paraId="67C867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0E2C6B9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26.2</w:t>
            </w:r>
          </w:p>
        </w:tc>
        <w:tc>
          <w:tcPr>
            <w:tcW w:w="1276" w:type="dxa"/>
            <w:tcBorders>
              <w:top w:val="nil"/>
              <w:left w:val="nil"/>
              <w:bottom w:val="single" w:sz="4" w:space="0" w:color="000000"/>
              <w:right w:val="single" w:sz="4" w:space="0" w:color="000000"/>
            </w:tcBorders>
            <w:shd w:val="clear" w:color="auto" w:fill="auto"/>
            <w:noWrap/>
            <w:vAlign w:val="center"/>
            <w:hideMark/>
          </w:tcPr>
          <w:p w14:paraId="59286C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7EC613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0FECBAD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07C8CD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3D8A446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7C6FBED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4805C5A7" w14:textId="77777777" w:rsidTr="00996507">
        <w:trPr>
          <w:trHeight w:val="178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EEDF52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Жилищно-коммунальное хозяйство</w:t>
            </w:r>
          </w:p>
        </w:tc>
        <w:tc>
          <w:tcPr>
            <w:tcW w:w="4378" w:type="dxa"/>
            <w:tcBorders>
              <w:top w:val="nil"/>
              <w:left w:val="nil"/>
              <w:bottom w:val="single" w:sz="4" w:space="0" w:color="auto"/>
              <w:right w:val="single" w:sz="4" w:space="0" w:color="auto"/>
            </w:tcBorders>
            <w:shd w:val="clear" w:color="000000" w:fill="FFFFFF"/>
            <w:hideMark/>
          </w:tcPr>
          <w:p w14:paraId="19E349D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51" w:type="dxa"/>
            <w:tcBorders>
              <w:top w:val="nil"/>
              <w:left w:val="nil"/>
              <w:bottom w:val="single" w:sz="4" w:space="0" w:color="auto"/>
              <w:right w:val="single" w:sz="4" w:space="0" w:color="auto"/>
            </w:tcBorders>
            <w:shd w:val="clear" w:color="000000" w:fill="FFFFFF"/>
            <w:hideMark/>
          </w:tcPr>
          <w:p w14:paraId="3F9481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F28395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w:t>
            </w:r>
          </w:p>
        </w:tc>
        <w:tc>
          <w:tcPr>
            <w:tcW w:w="1276" w:type="dxa"/>
            <w:tcBorders>
              <w:top w:val="nil"/>
              <w:left w:val="nil"/>
              <w:bottom w:val="single" w:sz="4" w:space="0" w:color="000000"/>
              <w:right w:val="single" w:sz="4" w:space="0" w:color="000000"/>
            </w:tcBorders>
            <w:shd w:val="clear" w:color="000000" w:fill="C0C0C0"/>
            <w:noWrap/>
            <w:vAlign w:val="center"/>
            <w:hideMark/>
          </w:tcPr>
          <w:p w14:paraId="052CF2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86BC3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929408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4E9D1A5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7C0938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8D3FF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r>
      <w:tr w:rsidR="00996507" w:rsidRPr="00996507" w14:paraId="351B4F42"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207C7E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2FB644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1151" w:type="dxa"/>
            <w:tcBorders>
              <w:top w:val="nil"/>
              <w:left w:val="nil"/>
              <w:bottom w:val="single" w:sz="4" w:space="0" w:color="auto"/>
              <w:right w:val="single" w:sz="4" w:space="0" w:color="auto"/>
            </w:tcBorders>
            <w:shd w:val="clear" w:color="000000" w:fill="FFFFFF"/>
            <w:hideMark/>
          </w:tcPr>
          <w:p w14:paraId="6143B9A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E3754F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w:t>
            </w:r>
          </w:p>
        </w:tc>
        <w:tc>
          <w:tcPr>
            <w:tcW w:w="1276" w:type="dxa"/>
            <w:tcBorders>
              <w:top w:val="nil"/>
              <w:left w:val="nil"/>
              <w:bottom w:val="single" w:sz="4" w:space="0" w:color="000000"/>
              <w:right w:val="single" w:sz="4" w:space="0" w:color="000000"/>
            </w:tcBorders>
            <w:shd w:val="clear" w:color="000000" w:fill="C0C0C0"/>
            <w:noWrap/>
            <w:vAlign w:val="center"/>
            <w:hideMark/>
          </w:tcPr>
          <w:p w14:paraId="2BC4C6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91,2</w:t>
            </w:r>
          </w:p>
        </w:tc>
        <w:tc>
          <w:tcPr>
            <w:tcW w:w="1275" w:type="dxa"/>
            <w:tcBorders>
              <w:top w:val="nil"/>
              <w:left w:val="nil"/>
              <w:bottom w:val="single" w:sz="4" w:space="0" w:color="000000"/>
              <w:right w:val="single" w:sz="4" w:space="0" w:color="000000"/>
            </w:tcBorders>
            <w:shd w:val="clear" w:color="000000" w:fill="C0C0C0"/>
            <w:noWrap/>
            <w:vAlign w:val="center"/>
            <w:hideMark/>
          </w:tcPr>
          <w:p w14:paraId="36FE27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76,0</w:t>
            </w:r>
          </w:p>
        </w:tc>
        <w:tc>
          <w:tcPr>
            <w:tcW w:w="1275" w:type="dxa"/>
            <w:tcBorders>
              <w:top w:val="nil"/>
              <w:left w:val="nil"/>
              <w:bottom w:val="single" w:sz="4" w:space="0" w:color="000000"/>
              <w:right w:val="single" w:sz="4" w:space="0" w:color="000000"/>
            </w:tcBorders>
            <w:shd w:val="clear" w:color="000000" w:fill="C0C0C0"/>
            <w:noWrap/>
            <w:vAlign w:val="center"/>
            <w:hideMark/>
          </w:tcPr>
          <w:p w14:paraId="4F4717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75,6</w:t>
            </w:r>
          </w:p>
        </w:tc>
        <w:tc>
          <w:tcPr>
            <w:tcW w:w="1277" w:type="dxa"/>
            <w:tcBorders>
              <w:top w:val="nil"/>
              <w:left w:val="nil"/>
              <w:bottom w:val="single" w:sz="4" w:space="0" w:color="000000"/>
              <w:right w:val="single" w:sz="4" w:space="0" w:color="000000"/>
            </w:tcBorders>
            <w:shd w:val="clear" w:color="000000" w:fill="C0C0C0"/>
            <w:noWrap/>
            <w:vAlign w:val="center"/>
            <w:hideMark/>
          </w:tcPr>
          <w:p w14:paraId="756669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75,1</w:t>
            </w:r>
          </w:p>
        </w:tc>
        <w:tc>
          <w:tcPr>
            <w:tcW w:w="1276" w:type="dxa"/>
            <w:tcBorders>
              <w:top w:val="nil"/>
              <w:left w:val="nil"/>
              <w:bottom w:val="single" w:sz="4" w:space="0" w:color="000000"/>
              <w:right w:val="single" w:sz="4" w:space="0" w:color="000000"/>
            </w:tcBorders>
            <w:shd w:val="clear" w:color="000000" w:fill="C0C0C0"/>
            <w:noWrap/>
            <w:vAlign w:val="center"/>
            <w:hideMark/>
          </w:tcPr>
          <w:p w14:paraId="74DFBF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74,8</w:t>
            </w:r>
          </w:p>
        </w:tc>
        <w:tc>
          <w:tcPr>
            <w:tcW w:w="1275" w:type="dxa"/>
            <w:tcBorders>
              <w:top w:val="nil"/>
              <w:left w:val="nil"/>
              <w:bottom w:val="single" w:sz="4" w:space="0" w:color="000000"/>
              <w:right w:val="single" w:sz="4" w:space="0" w:color="000000"/>
            </w:tcBorders>
            <w:shd w:val="clear" w:color="000000" w:fill="C0C0C0"/>
            <w:noWrap/>
            <w:vAlign w:val="center"/>
            <w:hideMark/>
          </w:tcPr>
          <w:p w14:paraId="46BF548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74,5</w:t>
            </w:r>
          </w:p>
        </w:tc>
      </w:tr>
      <w:tr w:rsidR="00996507" w:rsidRPr="00996507" w14:paraId="28A460F4"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73BC6C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EAE3A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1151" w:type="dxa"/>
            <w:tcBorders>
              <w:top w:val="nil"/>
              <w:left w:val="nil"/>
              <w:bottom w:val="single" w:sz="4" w:space="0" w:color="auto"/>
              <w:right w:val="single" w:sz="4" w:space="0" w:color="auto"/>
            </w:tcBorders>
            <w:shd w:val="clear" w:color="000000" w:fill="FFFFFF"/>
            <w:hideMark/>
          </w:tcPr>
          <w:p w14:paraId="1CFB55A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1109D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27.2</w:t>
            </w:r>
          </w:p>
        </w:tc>
        <w:tc>
          <w:tcPr>
            <w:tcW w:w="1276" w:type="dxa"/>
            <w:tcBorders>
              <w:top w:val="nil"/>
              <w:left w:val="nil"/>
              <w:bottom w:val="single" w:sz="4" w:space="0" w:color="000000"/>
              <w:right w:val="single" w:sz="4" w:space="0" w:color="000000"/>
            </w:tcBorders>
            <w:shd w:val="clear" w:color="auto" w:fill="auto"/>
            <w:noWrap/>
            <w:vAlign w:val="center"/>
            <w:hideMark/>
          </w:tcPr>
          <w:p w14:paraId="256C026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1 039,0</w:t>
            </w:r>
          </w:p>
        </w:tc>
        <w:tc>
          <w:tcPr>
            <w:tcW w:w="1275" w:type="dxa"/>
            <w:tcBorders>
              <w:top w:val="nil"/>
              <w:left w:val="nil"/>
              <w:bottom w:val="single" w:sz="4" w:space="0" w:color="000000"/>
              <w:right w:val="single" w:sz="4" w:space="0" w:color="000000"/>
            </w:tcBorders>
            <w:shd w:val="clear" w:color="auto" w:fill="auto"/>
            <w:noWrap/>
            <w:vAlign w:val="center"/>
            <w:hideMark/>
          </w:tcPr>
          <w:p w14:paraId="3BA4DE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884,0</w:t>
            </w:r>
          </w:p>
        </w:tc>
        <w:tc>
          <w:tcPr>
            <w:tcW w:w="1275" w:type="dxa"/>
            <w:tcBorders>
              <w:top w:val="nil"/>
              <w:left w:val="nil"/>
              <w:bottom w:val="single" w:sz="4" w:space="0" w:color="000000"/>
              <w:right w:val="single" w:sz="4" w:space="0" w:color="000000"/>
            </w:tcBorders>
            <w:shd w:val="clear" w:color="auto" w:fill="auto"/>
            <w:noWrap/>
            <w:vAlign w:val="center"/>
            <w:hideMark/>
          </w:tcPr>
          <w:p w14:paraId="3EFA4C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885,0</w:t>
            </w:r>
          </w:p>
        </w:tc>
        <w:tc>
          <w:tcPr>
            <w:tcW w:w="1277" w:type="dxa"/>
            <w:tcBorders>
              <w:top w:val="nil"/>
              <w:left w:val="nil"/>
              <w:bottom w:val="single" w:sz="4" w:space="0" w:color="000000"/>
              <w:right w:val="single" w:sz="4" w:space="0" w:color="000000"/>
            </w:tcBorders>
            <w:shd w:val="clear" w:color="auto" w:fill="auto"/>
            <w:noWrap/>
            <w:vAlign w:val="center"/>
            <w:hideMark/>
          </w:tcPr>
          <w:p w14:paraId="234327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885,0</w:t>
            </w:r>
          </w:p>
        </w:tc>
        <w:tc>
          <w:tcPr>
            <w:tcW w:w="1276" w:type="dxa"/>
            <w:tcBorders>
              <w:top w:val="nil"/>
              <w:left w:val="nil"/>
              <w:bottom w:val="single" w:sz="4" w:space="0" w:color="000000"/>
              <w:right w:val="single" w:sz="4" w:space="0" w:color="000000"/>
            </w:tcBorders>
            <w:shd w:val="clear" w:color="auto" w:fill="auto"/>
            <w:noWrap/>
            <w:vAlign w:val="center"/>
            <w:hideMark/>
          </w:tcPr>
          <w:p w14:paraId="624658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887,0</w:t>
            </w:r>
          </w:p>
        </w:tc>
        <w:tc>
          <w:tcPr>
            <w:tcW w:w="1275" w:type="dxa"/>
            <w:tcBorders>
              <w:top w:val="nil"/>
              <w:left w:val="nil"/>
              <w:bottom w:val="single" w:sz="4" w:space="0" w:color="000000"/>
              <w:right w:val="single" w:sz="4" w:space="0" w:color="000000"/>
            </w:tcBorders>
            <w:shd w:val="clear" w:color="auto" w:fill="auto"/>
            <w:noWrap/>
            <w:vAlign w:val="center"/>
            <w:hideMark/>
          </w:tcPr>
          <w:p w14:paraId="3FBF4A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887,0</w:t>
            </w:r>
          </w:p>
        </w:tc>
      </w:tr>
      <w:tr w:rsidR="00996507" w:rsidRPr="00996507" w14:paraId="3712BCDC" w14:textId="77777777" w:rsidTr="00996507">
        <w:trPr>
          <w:trHeight w:val="1785"/>
        </w:trPr>
        <w:tc>
          <w:tcPr>
            <w:tcW w:w="1701" w:type="dxa"/>
            <w:vMerge/>
            <w:tcBorders>
              <w:top w:val="nil"/>
              <w:left w:val="single" w:sz="4" w:space="0" w:color="auto"/>
              <w:bottom w:val="single" w:sz="4" w:space="0" w:color="auto"/>
              <w:right w:val="single" w:sz="4" w:space="0" w:color="auto"/>
            </w:tcBorders>
            <w:vAlign w:val="center"/>
            <w:hideMark/>
          </w:tcPr>
          <w:p w14:paraId="45282E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79D38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1151" w:type="dxa"/>
            <w:tcBorders>
              <w:top w:val="nil"/>
              <w:left w:val="nil"/>
              <w:bottom w:val="single" w:sz="4" w:space="0" w:color="auto"/>
              <w:right w:val="single" w:sz="4" w:space="0" w:color="auto"/>
            </w:tcBorders>
            <w:shd w:val="clear" w:color="000000" w:fill="FFFFFF"/>
            <w:hideMark/>
          </w:tcPr>
          <w:p w14:paraId="29B3A7F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C40BAF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27.3</w:t>
            </w:r>
          </w:p>
        </w:tc>
        <w:tc>
          <w:tcPr>
            <w:tcW w:w="1276" w:type="dxa"/>
            <w:tcBorders>
              <w:top w:val="nil"/>
              <w:left w:val="nil"/>
              <w:bottom w:val="single" w:sz="4" w:space="0" w:color="000000"/>
              <w:right w:val="single" w:sz="4" w:space="0" w:color="000000"/>
            </w:tcBorders>
            <w:shd w:val="clear" w:color="000000" w:fill="C0C0C0"/>
            <w:noWrap/>
            <w:vAlign w:val="center"/>
            <w:hideMark/>
          </w:tcPr>
          <w:p w14:paraId="0A50E9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0,2</w:t>
            </w:r>
          </w:p>
        </w:tc>
        <w:tc>
          <w:tcPr>
            <w:tcW w:w="1275" w:type="dxa"/>
            <w:tcBorders>
              <w:top w:val="nil"/>
              <w:left w:val="nil"/>
              <w:bottom w:val="single" w:sz="4" w:space="0" w:color="000000"/>
              <w:right w:val="single" w:sz="4" w:space="0" w:color="000000"/>
            </w:tcBorders>
            <w:shd w:val="clear" w:color="000000" w:fill="C0C0C0"/>
            <w:noWrap/>
            <w:vAlign w:val="center"/>
            <w:hideMark/>
          </w:tcPr>
          <w:p w14:paraId="5D29EC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5" w:type="dxa"/>
            <w:tcBorders>
              <w:top w:val="nil"/>
              <w:left w:val="nil"/>
              <w:bottom w:val="single" w:sz="4" w:space="0" w:color="000000"/>
              <w:right w:val="single" w:sz="4" w:space="0" w:color="000000"/>
            </w:tcBorders>
            <w:shd w:val="clear" w:color="000000" w:fill="C0C0C0"/>
            <w:noWrap/>
            <w:vAlign w:val="center"/>
            <w:hideMark/>
          </w:tcPr>
          <w:p w14:paraId="2C62E3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7" w:type="dxa"/>
            <w:tcBorders>
              <w:top w:val="nil"/>
              <w:left w:val="nil"/>
              <w:bottom w:val="single" w:sz="4" w:space="0" w:color="000000"/>
              <w:right w:val="single" w:sz="4" w:space="0" w:color="000000"/>
            </w:tcBorders>
            <w:shd w:val="clear" w:color="000000" w:fill="C0C0C0"/>
            <w:noWrap/>
            <w:vAlign w:val="center"/>
            <w:hideMark/>
          </w:tcPr>
          <w:p w14:paraId="68BBF99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6" w:type="dxa"/>
            <w:tcBorders>
              <w:top w:val="nil"/>
              <w:left w:val="nil"/>
              <w:bottom w:val="single" w:sz="4" w:space="0" w:color="000000"/>
              <w:right w:val="single" w:sz="4" w:space="0" w:color="000000"/>
            </w:tcBorders>
            <w:shd w:val="clear" w:color="000000" w:fill="C0C0C0"/>
            <w:noWrap/>
            <w:vAlign w:val="center"/>
            <w:hideMark/>
          </w:tcPr>
          <w:p w14:paraId="0E6398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5" w:type="dxa"/>
            <w:tcBorders>
              <w:top w:val="nil"/>
              <w:left w:val="nil"/>
              <w:bottom w:val="single" w:sz="4" w:space="0" w:color="000000"/>
              <w:right w:val="single" w:sz="4" w:space="0" w:color="000000"/>
            </w:tcBorders>
            <w:shd w:val="clear" w:color="000000" w:fill="C0C0C0"/>
            <w:noWrap/>
            <w:vAlign w:val="center"/>
            <w:hideMark/>
          </w:tcPr>
          <w:p w14:paraId="1DEA0D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0,4</w:t>
            </w:r>
          </w:p>
        </w:tc>
      </w:tr>
      <w:tr w:rsidR="00996507" w:rsidRPr="00996507" w14:paraId="1AC144E7" w14:textId="77777777" w:rsidTr="00996507">
        <w:trPr>
          <w:trHeight w:val="2040"/>
        </w:trPr>
        <w:tc>
          <w:tcPr>
            <w:tcW w:w="1701" w:type="dxa"/>
            <w:vMerge/>
            <w:tcBorders>
              <w:top w:val="nil"/>
              <w:left w:val="single" w:sz="4" w:space="0" w:color="auto"/>
              <w:bottom w:val="single" w:sz="4" w:space="0" w:color="auto"/>
              <w:right w:val="single" w:sz="4" w:space="0" w:color="auto"/>
            </w:tcBorders>
            <w:vAlign w:val="center"/>
            <w:hideMark/>
          </w:tcPr>
          <w:p w14:paraId="64E413B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CD564D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1151" w:type="dxa"/>
            <w:tcBorders>
              <w:top w:val="nil"/>
              <w:left w:val="nil"/>
              <w:bottom w:val="single" w:sz="4" w:space="0" w:color="auto"/>
              <w:right w:val="single" w:sz="4" w:space="0" w:color="auto"/>
            </w:tcBorders>
            <w:shd w:val="clear" w:color="000000" w:fill="FFFFFF"/>
            <w:hideMark/>
          </w:tcPr>
          <w:p w14:paraId="418A74A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7A92D3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27.4</w:t>
            </w:r>
          </w:p>
        </w:tc>
        <w:tc>
          <w:tcPr>
            <w:tcW w:w="1276" w:type="dxa"/>
            <w:tcBorders>
              <w:top w:val="nil"/>
              <w:left w:val="nil"/>
              <w:bottom w:val="single" w:sz="4" w:space="0" w:color="000000"/>
              <w:right w:val="single" w:sz="4" w:space="0" w:color="000000"/>
            </w:tcBorders>
            <w:shd w:val="clear" w:color="auto" w:fill="auto"/>
            <w:noWrap/>
            <w:vAlign w:val="center"/>
            <w:hideMark/>
          </w:tcPr>
          <w:p w14:paraId="303954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2,0</w:t>
            </w:r>
          </w:p>
        </w:tc>
        <w:tc>
          <w:tcPr>
            <w:tcW w:w="1275" w:type="dxa"/>
            <w:tcBorders>
              <w:top w:val="nil"/>
              <w:left w:val="nil"/>
              <w:bottom w:val="single" w:sz="4" w:space="0" w:color="000000"/>
              <w:right w:val="single" w:sz="4" w:space="0" w:color="000000"/>
            </w:tcBorders>
            <w:shd w:val="clear" w:color="auto" w:fill="auto"/>
            <w:noWrap/>
            <w:vAlign w:val="center"/>
            <w:hideMark/>
          </w:tcPr>
          <w:p w14:paraId="2269B12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5" w:type="dxa"/>
            <w:tcBorders>
              <w:top w:val="nil"/>
              <w:left w:val="nil"/>
              <w:bottom w:val="single" w:sz="4" w:space="0" w:color="000000"/>
              <w:right w:val="single" w:sz="4" w:space="0" w:color="000000"/>
            </w:tcBorders>
            <w:shd w:val="clear" w:color="auto" w:fill="auto"/>
            <w:noWrap/>
            <w:vAlign w:val="center"/>
            <w:hideMark/>
          </w:tcPr>
          <w:p w14:paraId="4BBDAB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7" w:type="dxa"/>
            <w:tcBorders>
              <w:top w:val="nil"/>
              <w:left w:val="nil"/>
              <w:bottom w:val="single" w:sz="4" w:space="0" w:color="000000"/>
              <w:right w:val="single" w:sz="4" w:space="0" w:color="000000"/>
            </w:tcBorders>
            <w:shd w:val="clear" w:color="auto" w:fill="auto"/>
            <w:noWrap/>
            <w:vAlign w:val="center"/>
            <w:hideMark/>
          </w:tcPr>
          <w:p w14:paraId="4667B1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6" w:type="dxa"/>
            <w:tcBorders>
              <w:top w:val="nil"/>
              <w:left w:val="nil"/>
              <w:bottom w:val="single" w:sz="4" w:space="0" w:color="000000"/>
              <w:right w:val="single" w:sz="4" w:space="0" w:color="000000"/>
            </w:tcBorders>
            <w:shd w:val="clear" w:color="auto" w:fill="auto"/>
            <w:noWrap/>
            <w:vAlign w:val="center"/>
            <w:hideMark/>
          </w:tcPr>
          <w:p w14:paraId="13150B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5" w:type="dxa"/>
            <w:tcBorders>
              <w:top w:val="nil"/>
              <w:left w:val="nil"/>
              <w:bottom w:val="single" w:sz="4" w:space="0" w:color="000000"/>
              <w:right w:val="single" w:sz="4" w:space="0" w:color="000000"/>
            </w:tcBorders>
            <w:shd w:val="clear" w:color="auto" w:fill="auto"/>
            <w:noWrap/>
            <w:vAlign w:val="center"/>
            <w:hideMark/>
          </w:tcPr>
          <w:p w14:paraId="296174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5,0</w:t>
            </w:r>
          </w:p>
        </w:tc>
      </w:tr>
      <w:tr w:rsidR="00996507" w:rsidRPr="00996507" w14:paraId="1CA5AE2E"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037D192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13BA33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1151" w:type="dxa"/>
            <w:tcBorders>
              <w:top w:val="nil"/>
              <w:left w:val="nil"/>
              <w:bottom w:val="single" w:sz="4" w:space="0" w:color="auto"/>
              <w:right w:val="single" w:sz="4" w:space="0" w:color="auto"/>
            </w:tcBorders>
            <w:shd w:val="clear" w:color="000000" w:fill="FFFFFF"/>
            <w:hideMark/>
          </w:tcPr>
          <w:p w14:paraId="17F18D5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8C6F4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27.5</w:t>
            </w:r>
          </w:p>
        </w:tc>
        <w:tc>
          <w:tcPr>
            <w:tcW w:w="1276" w:type="dxa"/>
            <w:tcBorders>
              <w:top w:val="nil"/>
              <w:left w:val="nil"/>
              <w:bottom w:val="single" w:sz="4" w:space="0" w:color="000000"/>
              <w:right w:val="single" w:sz="4" w:space="0" w:color="000000"/>
            </w:tcBorders>
            <w:shd w:val="clear" w:color="000000" w:fill="C0C0C0"/>
            <w:noWrap/>
            <w:vAlign w:val="center"/>
            <w:hideMark/>
          </w:tcPr>
          <w:p w14:paraId="739252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5" w:type="dxa"/>
            <w:tcBorders>
              <w:top w:val="nil"/>
              <w:left w:val="nil"/>
              <w:bottom w:val="single" w:sz="4" w:space="0" w:color="000000"/>
              <w:right w:val="single" w:sz="4" w:space="0" w:color="000000"/>
            </w:tcBorders>
            <w:shd w:val="clear" w:color="000000" w:fill="C0C0C0"/>
            <w:noWrap/>
            <w:vAlign w:val="center"/>
            <w:hideMark/>
          </w:tcPr>
          <w:p w14:paraId="4F7188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11,7</w:t>
            </w:r>
          </w:p>
        </w:tc>
        <w:tc>
          <w:tcPr>
            <w:tcW w:w="1275" w:type="dxa"/>
            <w:tcBorders>
              <w:top w:val="nil"/>
              <w:left w:val="nil"/>
              <w:bottom w:val="single" w:sz="4" w:space="0" w:color="000000"/>
              <w:right w:val="single" w:sz="4" w:space="0" w:color="000000"/>
            </w:tcBorders>
            <w:shd w:val="clear" w:color="000000" w:fill="C0C0C0"/>
            <w:noWrap/>
            <w:vAlign w:val="center"/>
            <w:hideMark/>
          </w:tcPr>
          <w:p w14:paraId="519618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10,5</w:t>
            </w:r>
          </w:p>
        </w:tc>
        <w:tc>
          <w:tcPr>
            <w:tcW w:w="1277" w:type="dxa"/>
            <w:tcBorders>
              <w:top w:val="nil"/>
              <w:left w:val="nil"/>
              <w:bottom w:val="single" w:sz="4" w:space="0" w:color="000000"/>
              <w:right w:val="single" w:sz="4" w:space="0" w:color="000000"/>
            </w:tcBorders>
            <w:shd w:val="clear" w:color="000000" w:fill="C0C0C0"/>
            <w:noWrap/>
            <w:vAlign w:val="center"/>
            <w:hideMark/>
          </w:tcPr>
          <w:p w14:paraId="0629D4A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10,8</w:t>
            </w:r>
          </w:p>
        </w:tc>
        <w:tc>
          <w:tcPr>
            <w:tcW w:w="1276" w:type="dxa"/>
            <w:tcBorders>
              <w:top w:val="nil"/>
              <w:left w:val="nil"/>
              <w:bottom w:val="single" w:sz="4" w:space="0" w:color="000000"/>
              <w:right w:val="single" w:sz="4" w:space="0" w:color="000000"/>
            </w:tcBorders>
            <w:shd w:val="clear" w:color="000000" w:fill="C0C0C0"/>
            <w:noWrap/>
            <w:vAlign w:val="center"/>
            <w:hideMark/>
          </w:tcPr>
          <w:p w14:paraId="0DCF085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10,7</w:t>
            </w:r>
          </w:p>
        </w:tc>
        <w:tc>
          <w:tcPr>
            <w:tcW w:w="1275" w:type="dxa"/>
            <w:tcBorders>
              <w:top w:val="nil"/>
              <w:left w:val="nil"/>
              <w:bottom w:val="single" w:sz="4" w:space="0" w:color="000000"/>
              <w:right w:val="single" w:sz="4" w:space="0" w:color="000000"/>
            </w:tcBorders>
            <w:shd w:val="clear" w:color="000000" w:fill="C0C0C0"/>
            <w:noWrap/>
            <w:vAlign w:val="center"/>
            <w:hideMark/>
          </w:tcPr>
          <w:p w14:paraId="5A80DC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10,9</w:t>
            </w:r>
          </w:p>
        </w:tc>
      </w:tr>
      <w:tr w:rsidR="00996507" w:rsidRPr="00996507" w14:paraId="327EE16F"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1B17CE6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B5678B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1151" w:type="dxa"/>
            <w:tcBorders>
              <w:top w:val="nil"/>
              <w:left w:val="nil"/>
              <w:bottom w:val="single" w:sz="4" w:space="0" w:color="auto"/>
              <w:right w:val="single" w:sz="4" w:space="0" w:color="auto"/>
            </w:tcBorders>
            <w:shd w:val="clear" w:color="000000" w:fill="FFFFFF"/>
            <w:hideMark/>
          </w:tcPr>
          <w:p w14:paraId="3F621E3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22EB32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27.6</w:t>
            </w:r>
          </w:p>
        </w:tc>
        <w:tc>
          <w:tcPr>
            <w:tcW w:w="1276" w:type="dxa"/>
            <w:tcBorders>
              <w:top w:val="nil"/>
              <w:left w:val="nil"/>
              <w:bottom w:val="single" w:sz="4" w:space="0" w:color="000000"/>
              <w:right w:val="single" w:sz="4" w:space="0" w:color="000000"/>
            </w:tcBorders>
            <w:shd w:val="clear" w:color="auto" w:fill="auto"/>
            <w:noWrap/>
            <w:vAlign w:val="center"/>
            <w:hideMark/>
          </w:tcPr>
          <w:p w14:paraId="449B79F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38,0</w:t>
            </w:r>
          </w:p>
        </w:tc>
        <w:tc>
          <w:tcPr>
            <w:tcW w:w="1275" w:type="dxa"/>
            <w:tcBorders>
              <w:top w:val="nil"/>
              <w:left w:val="nil"/>
              <w:bottom w:val="single" w:sz="4" w:space="0" w:color="000000"/>
              <w:right w:val="single" w:sz="4" w:space="0" w:color="000000"/>
            </w:tcBorders>
            <w:shd w:val="clear" w:color="auto" w:fill="auto"/>
            <w:noWrap/>
            <w:vAlign w:val="center"/>
            <w:hideMark/>
          </w:tcPr>
          <w:p w14:paraId="1BA3E0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136,0</w:t>
            </w:r>
          </w:p>
        </w:tc>
        <w:tc>
          <w:tcPr>
            <w:tcW w:w="1275" w:type="dxa"/>
            <w:tcBorders>
              <w:top w:val="nil"/>
              <w:left w:val="nil"/>
              <w:bottom w:val="single" w:sz="4" w:space="0" w:color="000000"/>
              <w:right w:val="single" w:sz="4" w:space="0" w:color="000000"/>
            </w:tcBorders>
            <w:shd w:val="clear" w:color="auto" w:fill="auto"/>
            <w:noWrap/>
            <w:vAlign w:val="center"/>
            <w:hideMark/>
          </w:tcPr>
          <w:p w14:paraId="78DB6B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123,0</w:t>
            </w:r>
          </w:p>
        </w:tc>
        <w:tc>
          <w:tcPr>
            <w:tcW w:w="1277" w:type="dxa"/>
            <w:tcBorders>
              <w:top w:val="nil"/>
              <w:left w:val="nil"/>
              <w:bottom w:val="single" w:sz="4" w:space="0" w:color="000000"/>
              <w:right w:val="single" w:sz="4" w:space="0" w:color="000000"/>
            </w:tcBorders>
            <w:shd w:val="clear" w:color="auto" w:fill="auto"/>
            <w:noWrap/>
            <w:vAlign w:val="center"/>
            <w:hideMark/>
          </w:tcPr>
          <w:p w14:paraId="14B3EE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127,0</w:t>
            </w:r>
          </w:p>
        </w:tc>
        <w:tc>
          <w:tcPr>
            <w:tcW w:w="1276" w:type="dxa"/>
            <w:tcBorders>
              <w:top w:val="nil"/>
              <w:left w:val="nil"/>
              <w:bottom w:val="single" w:sz="4" w:space="0" w:color="000000"/>
              <w:right w:val="single" w:sz="4" w:space="0" w:color="000000"/>
            </w:tcBorders>
            <w:shd w:val="clear" w:color="auto" w:fill="auto"/>
            <w:noWrap/>
            <w:vAlign w:val="center"/>
            <w:hideMark/>
          </w:tcPr>
          <w:p w14:paraId="55C2A2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127,0</w:t>
            </w:r>
          </w:p>
        </w:tc>
        <w:tc>
          <w:tcPr>
            <w:tcW w:w="1275" w:type="dxa"/>
            <w:tcBorders>
              <w:top w:val="nil"/>
              <w:left w:val="nil"/>
              <w:bottom w:val="single" w:sz="4" w:space="0" w:color="000000"/>
              <w:right w:val="single" w:sz="4" w:space="0" w:color="000000"/>
            </w:tcBorders>
            <w:shd w:val="clear" w:color="auto" w:fill="auto"/>
            <w:noWrap/>
            <w:vAlign w:val="center"/>
            <w:hideMark/>
          </w:tcPr>
          <w:p w14:paraId="26D0C76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130,0</w:t>
            </w:r>
          </w:p>
        </w:tc>
      </w:tr>
      <w:tr w:rsidR="00996507" w:rsidRPr="00996507" w14:paraId="4CDDB3A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489B34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537BA1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45EA61B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BB46CA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27.7</w:t>
            </w:r>
          </w:p>
        </w:tc>
        <w:tc>
          <w:tcPr>
            <w:tcW w:w="1276" w:type="dxa"/>
            <w:tcBorders>
              <w:top w:val="nil"/>
              <w:left w:val="nil"/>
              <w:bottom w:val="single" w:sz="4" w:space="0" w:color="000000"/>
              <w:right w:val="single" w:sz="4" w:space="0" w:color="000000"/>
            </w:tcBorders>
            <w:shd w:val="clear" w:color="000000" w:fill="C0C0C0"/>
            <w:noWrap/>
            <w:vAlign w:val="center"/>
            <w:hideMark/>
          </w:tcPr>
          <w:p w14:paraId="63B8DF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w:t>
            </w:r>
          </w:p>
        </w:tc>
        <w:tc>
          <w:tcPr>
            <w:tcW w:w="1275" w:type="dxa"/>
            <w:tcBorders>
              <w:top w:val="nil"/>
              <w:left w:val="nil"/>
              <w:bottom w:val="single" w:sz="4" w:space="0" w:color="000000"/>
              <w:right w:val="single" w:sz="4" w:space="0" w:color="000000"/>
            </w:tcBorders>
            <w:shd w:val="clear" w:color="000000" w:fill="C0C0C0"/>
            <w:noWrap/>
            <w:vAlign w:val="center"/>
            <w:hideMark/>
          </w:tcPr>
          <w:p w14:paraId="466C41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10,4</w:t>
            </w:r>
          </w:p>
        </w:tc>
        <w:tc>
          <w:tcPr>
            <w:tcW w:w="1275" w:type="dxa"/>
            <w:tcBorders>
              <w:top w:val="nil"/>
              <w:left w:val="nil"/>
              <w:bottom w:val="single" w:sz="4" w:space="0" w:color="000000"/>
              <w:right w:val="single" w:sz="4" w:space="0" w:color="000000"/>
            </w:tcBorders>
            <w:shd w:val="clear" w:color="000000" w:fill="C0C0C0"/>
            <w:noWrap/>
            <w:vAlign w:val="center"/>
            <w:hideMark/>
          </w:tcPr>
          <w:p w14:paraId="422473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w:t>
            </w:r>
          </w:p>
        </w:tc>
        <w:tc>
          <w:tcPr>
            <w:tcW w:w="1277" w:type="dxa"/>
            <w:tcBorders>
              <w:top w:val="nil"/>
              <w:left w:val="nil"/>
              <w:bottom w:val="single" w:sz="4" w:space="0" w:color="000000"/>
              <w:right w:val="single" w:sz="4" w:space="0" w:color="000000"/>
            </w:tcBorders>
            <w:shd w:val="clear" w:color="000000" w:fill="C0C0C0"/>
            <w:noWrap/>
            <w:vAlign w:val="center"/>
            <w:hideMark/>
          </w:tcPr>
          <w:p w14:paraId="0B7445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12,2</w:t>
            </w:r>
          </w:p>
        </w:tc>
        <w:tc>
          <w:tcPr>
            <w:tcW w:w="1276" w:type="dxa"/>
            <w:tcBorders>
              <w:top w:val="nil"/>
              <w:left w:val="nil"/>
              <w:bottom w:val="single" w:sz="4" w:space="0" w:color="000000"/>
              <w:right w:val="single" w:sz="4" w:space="0" w:color="000000"/>
            </w:tcBorders>
            <w:shd w:val="clear" w:color="000000" w:fill="C0C0C0"/>
            <w:noWrap/>
            <w:vAlign w:val="center"/>
            <w:hideMark/>
          </w:tcPr>
          <w:p w14:paraId="06A29A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12,8</w:t>
            </w:r>
          </w:p>
        </w:tc>
        <w:tc>
          <w:tcPr>
            <w:tcW w:w="1275" w:type="dxa"/>
            <w:tcBorders>
              <w:top w:val="nil"/>
              <w:left w:val="nil"/>
              <w:bottom w:val="single" w:sz="4" w:space="0" w:color="000000"/>
              <w:right w:val="single" w:sz="4" w:space="0" w:color="000000"/>
            </w:tcBorders>
            <w:shd w:val="clear" w:color="000000" w:fill="C0C0C0"/>
            <w:noWrap/>
            <w:vAlign w:val="center"/>
            <w:hideMark/>
          </w:tcPr>
          <w:p w14:paraId="2710DC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13,0</w:t>
            </w:r>
          </w:p>
        </w:tc>
      </w:tr>
      <w:tr w:rsidR="00996507" w:rsidRPr="00996507" w14:paraId="626B096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7042D16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E69642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3C33AA9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5246A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27.8</w:t>
            </w:r>
          </w:p>
        </w:tc>
        <w:tc>
          <w:tcPr>
            <w:tcW w:w="1276" w:type="dxa"/>
            <w:tcBorders>
              <w:top w:val="nil"/>
              <w:left w:val="nil"/>
              <w:bottom w:val="single" w:sz="4" w:space="0" w:color="000000"/>
              <w:right w:val="single" w:sz="4" w:space="0" w:color="000000"/>
            </w:tcBorders>
            <w:shd w:val="clear" w:color="auto" w:fill="auto"/>
            <w:noWrap/>
            <w:vAlign w:val="center"/>
            <w:hideMark/>
          </w:tcPr>
          <w:p w14:paraId="010A1B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c>
          <w:tcPr>
            <w:tcW w:w="1275" w:type="dxa"/>
            <w:tcBorders>
              <w:top w:val="nil"/>
              <w:left w:val="nil"/>
              <w:bottom w:val="single" w:sz="4" w:space="0" w:color="000000"/>
              <w:right w:val="single" w:sz="4" w:space="0" w:color="000000"/>
            </w:tcBorders>
            <w:shd w:val="clear" w:color="auto" w:fill="auto"/>
            <w:noWrap/>
            <w:vAlign w:val="center"/>
            <w:hideMark/>
          </w:tcPr>
          <w:p w14:paraId="7BDAB2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121,0</w:t>
            </w:r>
          </w:p>
        </w:tc>
        <w:tc>
          <w:tcPr>
            <w:tcW w:w="1275" w:type="dxa"/>
            <w:tcBorders>
              <w:top w:val="nil"/>
              <w:left w:val="nil"/>
              <w:bottom w:val="single" w:sz="4" w:space="0" w:color="000000"/>
              <w:right w:val="single" w:sz="4" w:space="0" w:color="000000"/>
            </w:tcBorders>
            <w:shd w:val="clear" w:color="auto" w:fill="auto"/>
            <w:noWrap/>
            <w:vAlign w:val="center"/>
            <w:hideMark/>
          </w:tcPr>
          <w:p w14:paraId="0FF5A62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141,0</w:t>
            </w:r>
          </w:p>
        </w:tc>
        <w:tc>
          <w:tcPr>
            <w:tcW w:w="1277" w:type="dxa"/>
            <w:tcBorders>
              <w:top w:val="nil"/>
              <w:left w:val="nil"/>
              <w:bottom w:val="single" w:sz="4" w:space="0" w:color="000000"/>
              <w:right w:val="single" w:sz="4" w:space="0" w:color="000000"/>
            </w:tcBorders>
            <w:shd w:val="clear" w:color="auto" w:fill="auto"/>
            <w:noWrap/>
            <w:vAlign w:val="center"/>
            <w:hideMark/>
          </w:tcPr>
          <w:p w14:paraId="5DF42E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144,0</w:t>
            </w:r>
          </w:p>
        </w:tc>
        <w:tc>
          <w:tcPr>
            <w:tcW w:w="1276" w:type="dxa"/>
            <w:tcBorders>
              <w:top w:val="nil"/>
              <w:left w:val="nil"/>
              <w:bottom w:val="single" w:sz="4" w:space="0" w:color="000000"/>
              <w:right w:val="single" w:sz="4" w:space="0" w:color="000000"/>
            </w:tcBorders>
            <w:shd w:val="clear" w:color="auto" w:fill="auto"/>
            <w:noWrap/>
            <w:vAlign w:val="center"/>
            <w:hideMark/>
          </w:tcPr>
          <w:p w14:paraId="7BA74E3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152,0</w:t>
            </w:r>
          </w:p>
        </w:tc>
        <w:tc>
          <w:tcPr>
            <w:tcW w:w="1275" w:type="dxa"/>
            <w:tcBorders>
              <w:top w:val="nil"/>
              <w:left w:val="nil"/>
              <w:bottom w:val="single" w:sz="4" w:space="0" w:color="000000"/>
              <w:right w:val="single" w:sz="4" w:space="0" w:color="000000"/>
            </w:tcBorders>
            <w:shd w:val="clear" w:color="auto" w:fill="auto"/>
            <w:noWrap/>
            <w:vAlign w:val="center"/>
            <w:hideMark/>
          </w:tcPr>
          <w:p w14:paraId="5C707CA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155,0</w:t>
            </w:r>
          </w:p>
        </w:tc>
      </w:tr>
      <w:tr w:rsidR="00996507" w:rsidRPr="00996507" w14:paraId="44CE7BF9" w14:textId="77777777" w:rsidTr="00996507">
        <w:trPr>
          <w:trHeight w:val="1920"/>
        </w:trPr>
        <w:tc>
          <w:tcPr>
            <w:tcW w:w="1701" w:type="dxa"/>
            <w:vMerge/>
            <w:tcBorders>
              <w:top w:val="nil"/>
              <w:left w:val="single" w:sz="4" w:space="0" w:color="auto"/>
              <w:bottom w:val="single" w:sz="4" w:space="0" w:color="auto"/>
              <w:right w:val="single" w:sz="4" w:space="0" w:color="auto"/>
            </w:tcBorders>
            <w:vAlign w:val="center"/>
            <w:hideMark/>
          </w:tcPr>
          <w:p w14:paraId="3F5596F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18DE2B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1151" w:type="dxa"/>
            <w:tcBorders>
              <w:top w:val="nil"/>
              <w:left w:val="nil"/>
              <w:bottom w:val="single" w:sz="4" w:space="0" w:color="auto"/>
              <w:right w:val="single" w:sz="4" w:space="0" w:color="auto"/>
            </w:tcBorders>
            <w:shd w:val="clear" w:color="000000" w:fill="FFFFFF"/>
            <w:hideMark/>
          </w:tcPr>
          <w:p w14:paraId="4B40586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E8C6F4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27.9</w:t>
            </w:r>
          </w:p>
        </w:tc>
        <w:tc>
          <w:tcPr>
            <w:tcW w:w="1276" w:type="dxa"/>
            <w:tcBorders>
              <w:top w:val="nil"/>
              <w:left w:val="nil"/>
              <w:bottom w:val="single" w:sz="4" w:space="0" w:color="000000"/>
              <w:right w:val="single" w:sz="4" w:space="0" w:color="000000"/>
            </w:tcBorders>
            <w:shd w:val="clear" w:color="000000" w:fill="C0C0C0"/>
            <w:noWrap/>
            <w:vAlign w:val="center"/>
            <w:hideMark/>
          </w:tcPr>
          <w:p w14:paraId="6C9543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w:t>
            </w:r>
          </w:p>
        </w:tc>
        <w:tc>
          <w:tcPr>
            <w:tcW w:w="1275" w:type="dxa"/>
            <w:tcBorders>
              <w:top w:val="nil"/>
              <w:left w:val="nil"/>
              <w:bottom w:val="single" w:sz="4" w:space="0" w:color="000000"/>
              <w:right w:val="single" w:sz="4" w:space="0" w:color="000000"/>
            </w:tcBorders>
            <w:shd w:val="clear" w:color="000000" w:fill="C0C0C0"/>
            <w:noWrap/>
            <w:vAlign w:val="center"/>
            <w:hideMark/>
          </w:tcPr>
          <w:p w14:paraId="35417C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9,8</w:t>
            </w:r>
          </w:p>
        </w:tc>
        <w:tc>
          <w:tcPr>
            <w:tcW w:w="1275" w:type="dxa"/>
            <w:tcBorders>
              <w:top w:val="nil"/>
              <w:left w:val="nil"/>
              <w:bottom w:val="single" w:sz="4" w:space="0" w:color="000000"/>
              <w:right w:val="single" w:sz="4" w:space="0" w:color="000000"/>
            </w:tcBorders>
            <w:shd w:val="clear" w:color="000000" w:fill="C0C0C0"/>
            <w:noWrap/>
            <w:vAlign w:val="center"/>
            <w:hideMark/>
          </w:tcPr>
          <w:p w14:paraId="2C546E7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11,3</w:t>
            </w:r>
          </w:p>
        </w:tc>
        <w:tc>
          <w:tcPr>
            <w:tcW w:w="1277" w:type="dxa"/>
            <w:tcBorders>
              <w:top w:val="nil"/>
              <w:left w:val="nil"/>
              <w:bottom w:val="single" w:sz="4" w:space="0" w:color="000000"/>
              <w:right w:val="single" w:sz="4" w:space="0" w:color="000000"/>
            </w:tcBorders>
            <w:shd w:val="clear" w:color="000000" w:fill="C0C0C0"/>
            <w:noWrap/>
            <w:vAlign w:val="center"/>
            <w:hideMark/>
          </w:tcPr>
          <w:p w14:paraId="3E1E90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11,4</w:t>
            </w:r>
          </w:p>
        </w:tc>
        <w:tc>
          <w:tcPr>
            <w:tcW w:w="1276" w:type="dxa"/>
            <w:tcBorders>
              <w:top w:val="nil"/>
              <w:left w:val="nil"/>
              <w:bottom w:val="single" w:sz="4" w:space="0" w:color="000000"/>
              <w:right w:val="single" w:sz="4" w:space="0" w:color="000000"/>
            </w:tcBorders>
            <w:shd w:val="clear" w:color="000000" w:fill="C0C0C0"/>
            <w:noWrap/>
            <w:vAlign w:val="center"/>
            <w:hideMark/>
          </w:tcPr>
          <w:p w14:paraId="3587B9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w:t>
            </w:r>
          </w:p>
        </w:tc>
        <w:tc>
          <w:tcPr>
            <w:tcW w:w="1275" w:type="dxa"/>
            <w:tcBorders>
              <w:top w:val="nil"/>
              <w:left w:val="nil"/>
              <w:bottom w:val="single" w:sz="4" w:space="0" w:color="000000"/>
              <w:right w:val="single" w:sz="4" w:space="0" w:color="000000"/>
            </w:tcBorders>
            <w:shd w:val="clear" w:color="000000" w:fill="C0C0C0"/>
            <w:noWrap/>
            <w:vAlign w:val="center"/>
            <w:hideMark/>
          </w:tcPr>
          <w:p w14:paraId="32E636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12,2</w:t>
            </w:r>
          </w:p>
        </w:tc>
      </w:tr>
      <w:tr w:rsidR="00996507" w:rsidRPr="00996507" w14:paraId="7FB2B35A" w14:textId="77777777" w:rsidTr="00996507">
        <w:trPr>
          <w:trHeight w:val="1920"/>
        </w:trPr>
        <w:tc>
          <w:tcPr>
            <w:tcW w:w="1701" w:type="dxa"/>
            <w:vMerge/>
            <w:tcBorders>
              <w:top w:val="nil"/>
              <w:left w:val="single" w:sz="4" w:space="0" w:color="auto"/>
              <w:bottom w:val="single" w:sz="4" w:space="0" w:color="auto"/>
              <w:right w:val="single" w:sz="4" w:space="0" w:color="auto"/>
            </w:tcBorders>
            <w:vAlign w:val="center"/>
            <w:hideMark/>
          </w:tcPr>
          <w:p w14:paraId="4076E9B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CF08DF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1151" w:type="dxa"/>
            <w:tcBorders>
              <w:top w:val="nil"/>
              <w:left w:val="nil"/>
              <w:bottom w:val="single" w:sz="4" w:space="0" w:color="auto"/>
              <w:right w:val="single" w:sz="4" w:space="0" w:color="auto"/>
            </w:tcBorders>
            <w:shd w:val="clear" w:color="000000" w:fill="FFFFFF"/>
            <w:hideMark/>
          </w:tcPr>
          <w:p w14:paraId="2382DB9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E2F767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27.10</w:t>
            </w:r>
          </w:p>
        </w:tc>
        <w:tc>
          <w:tcPr>
            <w:tcW w:w="1276" w:type="dxa"/>
            <w:tcBorders>
              <w:top w:val="nil"/>
              <w:left w:val="nil"/>
              <w:bottom w:val="single" w:sz="4" w:space="0" w:color="000000"/>
              <w:right w:val="single" w:sz="4" w:space="0" w:color="000000"/>
            </w:tcBorders>
            <w:shd w:val="clear" w:color="auto" w:fill="auto"/>
            <w:noWrap/>
            <w:vAlign w:val="center"/>
            <w:hideMark/>
          </w:tcPr>
          <w:p w14:paraId="2DE187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c>
          <w:tcPr>
            <w:tcW w:w="1275" w:type="dxa"/>
            <w:tcBorders>
              <w:top w:val="nil"/>
              <w:left w:val="nil"/>
              <w:bottom w:val="single" w:sz="4" w:space="0" w:color="000000"/>
              <w:right w:val="single" w:sz="4" w:space="0" w:color="000000"/>
            </w:tcBorders>
            <w:shd w:val="clear" w:color="auto" w:fill="auto"/>
            <w:noWrap/>
            <w:vAlign w:val="center"/>
            <w:hideMark/>
          </w:tcPr>
          <w:p w14:paraId="401A2C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114,0</w:t>
            </w:r>
          </w:p>
        </w:tc>
        <w:tc>
          <w:tcPr>
            <w:tcW w:w="1275" w:type="dxa"/>
            <w:tcBorders>
              <w:top w:val="nil"/>
              <w:left w:val="nil"/>
              <w:bottom w:val="single" w:sz="4" w:space="0" w:color="000000"/>
              <w:right w:val="single" w:sz="4" w:space="0" w:color="000000"/>
            </w:tcBorders>
            <w:shd w:val="clear" w:color="auto" w:fill="auto"/>
            <w:noWrap/>
            <w:vAlign w:val="center"/>
            <w:hideMark/>
          </w:tcPr>
          <w:p w14:paraId="473862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132,0</w:t>
            </w:r>
          </w:p>
        </w:tc>
        <w:tc>
          <w:tcPr>
            <w:tcW w:w="1277" w:type="dxa"/>
            <w:tcBorders>
              <w:top w:val="nil"/>
              <w:left w:val="nil"/>
              <w:bottom w:val="single" w:sz="4" w:space="0" w:color="000000"/>
              <w:right w:val="single" w:sz="4" w:space="0" w:color="000000"/>
            </w:tcBorders>
            <w:shd w:val="clear" w:color="auto" w:fill="auto"/>
            <w:noWrap/>
            <w:vAlign w:val="center"/>
            <w:hideMark/>
          </w:tcPr>
          <w:p w14:paraId="592762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134,0</w:t>
            </w:r>
          </w:p>
        </w:tc>
        <w:tc>
          <w:tcPr>
            <w:tcW w:w="1276" w:type="dxa"/>
            <w:tcBorders>
              <w:top w:val="nil"/>
              <w:left w:val="nil"/>
              <w:bottom w:val="single" w:sz="4" w:space="0" w:color="000000"/>
              <w:right w:val="single" w:sz="4" w:space="0" w:color="000000"/>
            </w:tcBorders>
            <w:shd w:val="clear" w:color="auto" w:fill="auto"/>
            <w:noWrap/>
            <w:vAlign w:val="center"/>
            <w:hideMark/>
          </w:tcPr>
          <w:p w14:paraId="570622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142,0</w:t>
            </w:r>
          </w:p>
        </w:tc>
        <w:tc>
          <w:tcPr>
            <w:tcW w:w="1275" w:type="dxa"/>
            <w:tcBorders>
              <w:top w:val="nil"/>
              <w:left w:val="nil"/>
              <w:bottom w:val="single" w:sz="4" w:space="0" w:color="000000"/>
              <w:right w:val="single" w:sz="4" w:space="0" w:color="000000"/>
            </w:tcBorders>
            <w:shd w:val="clear" w:color="auto" w:fill="auto"/>
            <w:noWrap/>
            <w:vAlign w:val="center"/>
            <w:hideMark/>
          </w:tcPr>
          <w:p w14:paraId="21777A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145,0</w:t>
            </w:r>
          </w:p>
        </w:tc>
      </w:tr>
      <w:tr w:rsidR="00996507" w:rsidRPr="00996507" w14:paraId="4EA65500"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5976FD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DA982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1151" w:type="dxa"/>
            <w:tcBorders>
              <w:top w:val="nil"/>
              <w:left w:val="nil"/>
              <w:bottom w:val="single" w:sz="4" w:space="0" w:color="auto"/>
              <w:right w:val="single" w:sz="4" w:space="0" w:color="auto"/>
            </w:tcBorders>
            <w:shd w:val="clear" w:color="000000" w:fill="FFFFFF"/>
            <w:hideMark/>
          </w:tcPr>
          <w:p w14:paraId="0B11EFA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A22F2A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27.11</w:t>
            </w:r>
          </w:p>
        </w:tc>
        <w:tc>
          <w:tcPr>
            <w:tcW w:w="1276" w:type="dxa"/>
            <w:tcBorders>
              <w:top w:val="nil"/>
              <w:left w:val="nil"/>
              <w:bottom w:val="single" w:sz="4" w:space="0" w:color="000000"/>
              <w:right w:val="single" w:sz="4" w:space="0" w:color="000000"/>
            </w:tcBorders>
            <w:shd w:val="clear" w:color="auto" w:fill="auto"/>
            <w:noWrap/>
            <w:vAlign w:val="center"/>
            <w:hideMark/>
          </w:tcPr>
          <w:p w14:paraId="39C360C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1 139,0</w:t>
            </w:r>
          </w:p>
        </w:tc>
        <w:tc>
          <w:tcPr>
            <w:tcW w:w="1275" w:type="dxa"/>
            <w:tcBorders>
              <w:top w:val="nil"/>
              <w:left w:val="nil"/>
              <w:bottom w:val="single" w:sz="4" w:space="0" w:color="000000"/>
              <w:right w:val="single" w:sz="4" w:space="0" w:color="000000"/>
            </w:tcBorders>
            <w:shd w:val="clear" w:color="auto" w:fill="auto"/>
            <w:noWrap/>
            <w:vAlign w:val="center"/>
            <w:hideMark/>
          </w:tcPr>
          <w:p w14:paraId="1764C56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0FF4E3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40BDB20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4863E32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3B0F22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566833D6"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E17CD9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2363B7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способ управления многоквартирными домами</w:t>
            </w:r>
          </w:p>
        </w:tc>
        <w:tc>
          <w:tcPr>
            <w:tcW w:w="1151" w:type="dxa"/>
            <w:tcBorders>
              <w:top w:val="nil"/>
              <w:left w:val="nil"/>
              <w:bottom w:val="single" w:sz="4" w:space="0" w:color="auto"/>
              <w:right w:val="single" w:sz="4" w:space="0" w:color="auto"/>
            </w:tcBorders>
            <w:shd w:val="clear" w:color="000000" w:fill="FFFFFF"/>
            <w:hideMark/>
          </w:tcPr>
          <w:p w14:paraId="0593635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2572C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27.12</w:t>
            </w:r>
          </w:p>
        </w:tc>
        <w:tc>
          <w:tcPr>
            <w:tcW w:w="1276" w:type="dxa"/>
            <w:tcBorders>
              <w:top w:val="nil"/>
              <w:left w:val="nil"/>
              <w:bottom w:val="single" w:sz="4" w:space="0" w:color="000000"/>
              <w:right w:val="single" w:sz="4" w:space="0" w:color="000000"/>
            </w:tcBorders>
            <w:shd w:val="clear" w:color="auto" w:fill="auto"/>
            <w:noWrap/>
            <w:vAlign w:val="center"/>
            <w:hideMark/>
          </w:tcPr>
          <w:p w14:paraId="6552AB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1 139,0</w:t>
            </w:r>
          </w:p>
        </w:tc>
        <w:tc>
          <w:tcPr>
            <w:tcW w:w="1275" w:type="dxa"/>
            <w:tcBorders>
              <w:top w:val="nil"/>
              <w:left w:val="nil"/>
              <w:bottom w:val="single" w:sz="4" w:space="0" w:color="000000"/>
              <w:right w:val="single" w:sz="4" w:space="0" w:color="000000"/>
            </w:tcBorders>
            <w:shd w:val="clear" w:color="auto" w:fill="auto"/>
            <w:noWrap/>
            <w:vAlign w:val="center"/>
            <w:hideMark/>
          </w:tcPr>
          <w:p w14:paraId="2F8928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3BE9B4D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0FCC31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278513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374B14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6B2A1CF7" w14:textId="77777777" w:rsidTr="00996507">
        <w:trPr>
          <w:trHeight w:val="3728"/>
        </w:trPr>
        <w:tc>
          <w:tcPr>
            <w:tcW w:w="1701" w:type="dxa"/>
            <w:vMerge/>
            <w:tcBorders>
              <w:top w:val="nil"/>
              <w:left w:val="single" w:sz="4" w:space="0" w:color="auto"/>
              <w:bottom w:val="single" w:sz="4" w:space="0" w:color="auto"/>
              <w:right w:val="single" w:sz="4" w:space="0" w:color="auto"/>
            </w:tcBorders>
            <w:vAlign w:val="center"/>
            <w:hideMark/>
          </w:tcPr>
          <w:p w14:paraId="76997F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9AABA5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25BB2EB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8FBE23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28</w:t>
            </w:r>
          </w:p>
        </w:tc>
        <w:tc>
          <w:tcPr>
            <w:tcW w:w="1276" w:type="dxa"/>
            <w:tcBorders>
              <w:top w:val="nil"/>
              <w:left w:val="nil"/>
              <w:bottom w:val="single" w:sz="4" w:space="0" w:color="000000"/>
              <w:right w:val="single" w:sz="4" w:space="0" w:color="000000"/>
            </w:tcBorders>
            <w:shd w:val="clear" w:color="000000" w:fill="C0C0C0"/>
            <w:noWrap/>
            <w:vAlign w:val="center"/>
            <w:hideMark/>
          </w:tcPr>
          <w:p w14:paraId="1223547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44,4</w:t>
            </w:r>
          </w:p>
        </w:tc>
        <w:tc>
          <w:tcPr>
            <w:tcW w:w="1275" w:type="dxa"/>
            <w:tcBorders>
              <w:top w:val="nil"/>
              <w:left w:val="nil"/>
              <w:bottom w:val="single" w:sz="4" w:space="0" w:color="000000"/>
              <w:right w:val="single" w:sz="4" w:space="0" w:color="000000"/>
            </w:tcBorders>
            <w:shd w:val="clear" w:color="000000" w:fill="C0C0C0"/>
            <w:noWrap/>
            <w:vAlign w:val="center"/>
            <w:hideMark/>
          </w:tcPr>
          <w:p w14:paraId="706C41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5" w:type="dxa"/>
            <w:tcBorders>
              <w:top w:val="nil"/>
              <w:left w:val="nil"/>
              <w:bottom w:val="single" w:sz="4" w:space="0" w:color="000000"/>
              <w:right w:val="single" w:sz="4" w:space="0" w:color="000000"/>
            </w:tcBorders>
            <w:shd w:val="clear" w:color="000000" w:fill="C0C0C0"/>
            <w:noWrap/>
            <w:vAlign w:val="center"/>
            <w:hideMark/>
          </w:tcPr>
          <w:p w14:paraId="041232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7" w:type="dxa"/>
            <w:tcBorders>
              <w:top w:val="nil"/>
              <w:left w:val="nil"/>
              <w:bottom w:val="single" w:sz="4" w:space="0" w:color="000000"/>
              <w:right w:val="single" w:sz="4" w:space="0" w:color="000000"/>
            </w:tcBorders>
            <w:shd w:val="clear" w:color="000000" w:fill="C0C0C0"/>
            <w:noWrap/>
            <w:vAlign w:val="center"/>
            <w:hideMark/>
          </w:tcPr>
          <w:p w14:paraId="492D87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6" w:type="dxa"/>
            <w:tcBorders>
              <w:top w:val="nil"/>
              <w:left w:val="nil"/>
              <w:bottom w:val="single" w:sz="4" w:space="0" w:color="000000"/>
              <w:right w:val="single" w:sz="4" w:space="0" w:color="000000"/>
            </w:tcBorders>
            <w:shd w:val="clear" w:color="000000" w:fill="C0C0C0"/>
            <w:noWrap/>
            <w:vAlign w:val="center"/>
            <w:hideMark/>
          </w:tcPr>
          <w:p w14:paraId="72A9D1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5" w:type="dxa"/>
            <w:tcBorders>
              <w:top w:val="nil"/>
              <w:left w:val="nil"/>
              <w:bottom w:val="single" w:sz="4" w:space="0" w:color="000000"/>
              <w:right w:val="single" w:sz="4" w:space="0" w:color="000000"/>
            </w:tcBorders>
            <w:shd w:val="clear" w:color="000000" w:fill="C0C0C0"/>
            <w:noWrap/>
            <w:vAlign w:val="center"/>
            <w:hideMark/>
          </w:tcPr>
          <w:p w14:paraId="77D616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r>
      <w:tr w:rsidR="00996507" w:rsidRPr="00996507" w14:paraId="658F5638" w14:textId="77777777" w:rsidTr="00996507">
        <w:trPr>
          <w:trHeight w:val="2295"/>
        </w:trPr>
        <w:tc>
          <w:tcPr>
            <w:tcW w:w="1701" w:type="dxa"/>
            <w:vMerge/>
            <w:tcBorders>
              <w:top w:val="nil"/>
              <w:left w:val="single" w:sz="4" w:space="0" w:color="auto"/>
              <w:bottom w:val="single" w:sz="4" w:space="0" w:color="auto"/>
              <w:right w:val="single" w:sz="4" w:space="0" w:color="auto"/>
            </w:tcBorders>
            <w:vAlign w:val="center"/>
            <w:hideMark/>
          </w:tcPr>
          <w:p w14:paraId="49A6224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57E8D1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1151" w:type="dxa"/>
            <w:tcBorders>
              <w:top w:val="nil"/>
              <w:left w:val="nil"/>
              <w:bottom w:val="single" w:sz="4" w:space="0" w:color="auto"/>
              <w:right w:val="single" w:sz="4" w:space="0" w:color="auto"/>
            </w:tcBorders>
            <w:shd w:val="clear" w:color="000000" w:fill="FFFFFF"/>
            <w:hideMark/>
          </w:tcPr>
          <w:p w14:paraId="62F83A4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7E1484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28.1</w:t>
            </w:r>
          </w:p>
        </w:tc>
        <w:tc>
          <w:tcPr>
            <w:tcW w:w="1276" w:type="dxa"/>
            <w:tcBorders>
              <w:top w:val="nil"/>
              <w:left w:val="nil"/>
              <w:bottom w:val="single" w:sz="4" w:space="0" w:color="000000"/>
              <w:right w:val="single" w:sz="4" w:space="0" w:color="000000"/>
            </w:tcBorders>
            <w:shd w:val="clear" w:color="auto" w:fill="auto"/>
            <w:noWrap/>
            <w:vAlign w:val="center"/>
            <w:hideMark/>
          </w:tcPr>
          <w:p w14:paraId="489DCC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5" w:type="dxa"/>
            <w:tcBorders>
              <w:top w:val="nil"/>
              <w:left w:val="nil"/>
              <w:bottom w:val="single" w:sz="4" w:space="0" w:color="000000"/>
              <w:right w:val="single" w:sz="4" w:space="0" w:color="000000"/>
            </w:tcBorders>
            <w:shd w:val="clear" w:color="auto" w:fill="auto"/>
            <w:noWrap/>
            <w:vAlign w:val="center"/>
            <w:hideMark/>
          </w:tcPr>
          <w:p w14:paraId="68C91F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5" w:type="dxa"/>
            <w:tcBorders>
              <w:top w:val="nil"/>
              <w:left w:val="nil"/>
              <w:bottom w:val="single" w:sz="4" w:space="0" w:color="000000"/>
              <w:right w:val="single" w:sz="4" w:space="0" w:color="000000"/>
            </w:tcBorders>
            <w:shd w:val="clear" w:color="auto" w:fill="auto"/>
            <w:noWrap/>
            <w:vAlign w:val="center"/>
            <w:hideMark/>
          </w:tcPr>
          <w:p w14:paraId="06D08D6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7" w:type="dxa"/>
            <w:tcBorders>
              <w:top w:val="nil"/>
              <w:left w:val="nil"/>
              <w:bottom w:val="single" w:sz="4" w:space="0" w:color="000000"/>
              <w:right w:val="single" w:sz="4" w:space="0" w:color="000000"/>
            </w:tcBorders>
            <w:shd w:val="clear" w:color="auto" w:fill="auto"/>
            <w:noWrap/>
            <w:vAlign w:val="center"/>
            <w:hideMark/>
          </w:tcPr>
          <w:p w14:paraId="09CCAD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6" w:type="dxa"/>
            <w:tcBorders>
              <w:top w:val="nil"/>
              <w:left w:val="nil"/>
              <w:bottom w:val="single" w:sz="4" w:space="0" w:color="000000"/>
              <w:right w:val="single" w:sz="4" w:space="0" w:color="000000"/>
            </w:tcBorders>
            <w:shd w:val="clear" w:color="auto" w:fill="auto"/>
            <w:noWrap/>
            <w:vAlign w:val="center"/>
            <w:hideMark/>
          </w:tcPr>
          <w:p w14:paraId="0C1BDF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5" w:type="dxa"/>
            <w:tcBorders>
              <w:top w:val="nil"/>
              <w:left w:val="nil"/>
              <w:bottom w:val="single" w:sz="4" w:space="0" w:color="000000"/>
              <w:right w:val="single" w:sz="4" w:space="0" w:color="000000"/>
            </w:tcBorders>
            <w:shd w:val="clear" w:color="auto" w:fill="auto"/>
            <w:noWrap/>
            <w:vAlign w:val="center"/>
            <w:hideMark/>
          </w:tcPr>
          <w:p w14:paraId="24582B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r>
      <w:tr w:rsidR="00996507" w:rsidRPr="00996507" w14:paraId="6F371853"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6EB97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712BA3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организаций коммунального комплекса</w:t>
            </w:r>
          </w:p>
        </w:tc>
        <w:tc>
          <w:tcPr>
            <w:tcW w:w="1151" w:type="dxa"/>
            <w:tcBorders>
              <w:top w:val="nil"/>
              <w:left w:val="nil"/>
              <w:bottom w:val="single" w:sz="4" w:space="0" w:color="auto"/>
              <w:right w:val="single" w:sz="4" w:space="0" w:color="auto"/>
            </w:tcBorders>
            <w:shd w:val="clear" w:color="000000" w:fill="FFFFFF"/>
            <w:hideMark/>
          </w:tcPr>
          <w:p w14:paraId="047DA96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3D9298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28.2</w:t>
            </w:r>
          </w:p>
        </w:tc>
        <w:tc>
          <w:tcPr>
            <w:tcW w:w="1276" w:type="dxa"/>
            <w:tcBorders>
              <w:top w:val="nil"/>
              <w:left w:val="nil"/>
              <w:bottom w:val="single" w:sz="4" w:space="0" w:color="000000"/>
              <w:right w:val="single" w:sz="4" w:space="0" w:color="000000"/>
            </w:tcBorders>
            <w:shd w:val="clear" w:color="auto" w:fill="auto"/>
            <w:noWrap/>
            <w:vAlign w:val="center"/>
            <w:hideMark/>
          </w:tcPr>
          <w:p w14:paraId="1D1A76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5" w:type="dxa"/>
            <w:tcBorders>
              <w:top w:val="nil"/>
              <w:left w:val="nil"/>
              <w:bottom w:val="single" w:sz="4" w:space="0" w:color="000000"/>
              <w:right w:val="single" w:sz="4" w:space="0" w:color="000000"/>
            </w:tcBorders>
            <w:shd w:val="clear" w:color="auto" w:fill="auto"/>
            <w:noWrap/>
            <w:vAlign w:val="center"/>
            <w:hideMark/>
          </w:tcPr>
          <w:p w14:paraId="1B5086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5" w:type="dxa"/>
            <w:tcBorders>
              <w:top w:val="nil"/>
              <w:left w:val="nil"/>
              <w:bottom w:val="single" w:sz="4" w:space="0" w:color="000000"/>
              <w:right w:val="single" w:sz="4" w:space="0" w:color="000000"/>
            </w:tcBorders>
            <w:shd w:val="clear" w:color="auto" w:fill="auto"/>
            <w:noWrap/>
            <w:vAlign w:val="center"/>
            <w:hideMark/>
          </w:tcPr>
          <w:p w14:paraId="7B5190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7" w:type="dxa"/>
            <w:tcBorders>
              <w:top w:val="nil"/>
              <w:left w:val="nil"/>
              <w:bottom w:val="single" w:sz="4" w:space="0" w:color="000000"/>
              <w:right w:val="single" w:sz="4" w:space="0" w:color="000000"/>
            </w:tcBorders>
            <w:shd w:val="clear" w:color="auto" w:fill="auto"/>
            <w:noWrap/>
            <w:vAlign w:val="center"/>
            <w:hideMark/>
          </w:tcPr>
          <w:p w14:paraId="031F0A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6" w:type="dxa"/>
            <w:tcBorders>
              <w:top w:val="nil"/>
              <w:left w:val="nil"/>
              <w:bottom w:val="single" w:sz="4" w:space="0" w:color="000000"/>
              <w:right w:val="single" w:sz="4" w:space="0" w:color="000000"/>
            </w:tcBorders>
            <w:shd w:val="clear" w:color="auto" w:fill="auto"/>
            <w:noWrap/>
            <w:vAlign w:val="center"/>
            <w:hideMark/>
          </w:tcPr>
          <w:p w14:paraId="58E5AD3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5" w:type="dxa"/>
            <w:tcBorders>
              <w:top w:val="nil"/>
              <w:left w:val="nil"/>
              <w:bottom w:val="single" w:sz="4" w:space="0" w:color="000000"/>
              <w:right w:val="single" w:sz="4" w:space="0" w:color="000000"/>
            </w:tcBorders>
            <w:shd w:val="clear" w:color="auto" w:fill="auto"/>
            <w:noWrap/>
            <w:vAlign w:val="center"/>
            <w:hideMark/>
          </w:tcPr>
          <w:p w14:paraId="7E326A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r>
      <w:tr w:rsidR="00996507" w:rsidRPr="00996507" w14:paraId="66B74191"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FAD25A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08A817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51" w:type="dxa"/>
            <w:tcBorders>
              <w:top w:val="nil"/>
              <w:left w:val="nil"/>
              <w:bottom w:val="single" w:sz="4" w:space="0" w:color="auto"/>
              <w:right w:val="single" w:sz="4" w:space="0" w:color="auto"/>
            </w:tcBorders>
            <w:shd w:val="clear" w:color="000000" w:fill="FFFFFF"/>
            <w:hideMark/>
          </w:tcPr>
          <w:p w14:paraId="7C95672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AA23FF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29</w:t>
            </w:r>
          </w:p>
        </w:tc>
        <w:tc>
          <w:tcPr>
            <w:tcW w:w="1276" w:type="dxa"/>
            <w:tcBorders>
              <w:top w:val="nil"/>
              <w:left w:val="nil"/>
              <w:bottom w:val="single" w:sz="4" w:space="0" w:color="000000"/>
              <w:right w:val="single" w:sz="4" w:space="0" w:color="000000"/>
            </w:tcBorders>
            <w:shd w:val="clear" w:color="000000" w:fill="C0C0C0"/>
            <w:noWrap/>
            <w:vAlign w:val="center"/>
            <w:hideMark/>
          </w:tcPr>
          <w:p w14:paraId="0D7CE4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B6973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78E90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634550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754121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EA478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r>
      <w:tr w:rsidR="00996507" w:rsidRPr="00996507" w14:paraId="4C53D15E"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F5B50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D1951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1151" w:type="dxa"/>
            <w:tcBorders>
              <w:top w:val="nil"/>
              <w:left w:val="nil"/>
              <w:bottom w:val="single" w:sz="4" w:space="0" w:color="auto"/>
              <w:right w:val="single" w:sz="4" w:space="0" w:color="auto"/>
            </w:tcBorders>
            <w:shd w:val="clear" w:color="000000" w:fill="FFFFFF"/>
            <w:hideMark/>
          </w:tcPr>
          <w:p w14:paraId="1F6B3B0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FC3D5B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29.1</w:t>
            </w:r>
          </w:p>
        </w:tc>
        <w:tc>
          <w:tcPr>
            <w:tcW w:w="1276" w:type="dxa"/>
            <w:tcBorders>
              <w:top w:val="nil"/>
              <w:left w:val="nil"/>
              <w:bottom w:val="single" w:sz="4" w:space="0" w:color="000000"/>
              <w:right w:val="single" w:sz="4" w:space="0" w:color="000000"/>
            </w:tcBorders>
            <w:shd w:val="clear" w:color="auto" w:fill="auto"/>
            <w:noWrap/>
            <w:vAlign w:val="center"/>
            <w:hideMark/>
          </w:tcPr>
          <w:p w14:paraId="46EA3E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1 141,0</w:t>
            </w:r>
          </w:p>
        </w:tc>
        <w:tc>
          <w:tcPr>
            <w:tcW w:w="1275" w:type="dxa"/>
            <w:tcBorders>
              <w:top w:val="nil"/>
              <w:left w:val="nil"/>
              <w:bottom w:val="single" w:sz="4" w:space="0" w:color="000000"/>
              <w:right w:val="single" w:sz="4" w:space="0" w:color="000000"/>
            </w:tcBorders>
            <w:shd w:val="clear" w:color="auto" w:fill="auto"/>
            <w:noWrap/>
            <w:vAlign w:val="center"/>
            <w:hideMark/>
          </w:tcPr>
          <w:p w14:paraId="23721B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6B879C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4C9EE4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06C1A0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4D2CD7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65B0F2D5"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4693DFC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FC02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количество многоквартирных домов</w:t>
            </w:r>
          </w:p>
        </w:tc>
        <w:tc>
          <w:tcPr>
            <w:tcW w:w="1151" w:type="dxa"/>
            <w:tcBorders>
              <w:top w:val="nil"/>
              <w:left w:val="nil"/>
              <w:bottom w:val="single" w:sz="4" w:space="0" w:color="auto"/>
              <w:right w:val="single" w:sz="4" w:space="0" w:color="auto"/>
            </w:tcBorders>
            <w:shd w:val="clear" w:color="000000" w:fill="FFFFFF"/>
            <w:hideMark/>
          </w:tcPr>
          <w:p w14:paraId="2C04267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644CC0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29.2</w:t>
            </w:r>
          </w:p>
        </w:tc>
        <w:tc>
          <w:tcPr>
            <w:tcW w:w="1276" w:type="dxa"/>
            <w:tcBorders>
              <w:top w:val="nil"/>
              <w:left w:val="nil"/>
              <w:bottom w:val="single" w:sz="4" w:space="0" w:color="000000"/>
              <w:right w:val="single" w:sz="4" w:space="0" w:color="000000"/>
            </w:tcBorders>
            <w:shd w:val="clear" w:color="auto" w:fill="auto"/>
            <w:noWrap/>
            <w:vAlign w:val="center"/>
            <w:hideMark/>
          </w:tcPr>
          <w:p w14:paraId="0854A4E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1 141,0</w:t>
            </w:r>
          </w:p>
        </w:tc>
        <w:tc>
          <w:tcPr>
            <w:tcW w:w="1275" w:type="dxa"/>
            <w:tcBorders>
              <w:top w:val="nil"/>
              <w:left w:val="nil"/>
              <w:bottom w:val="single" w:sz="4" w:space="0" w:color="000000"/>
              <w:right w:val="single" w:sz="4" w:space="0" w:color="000000"/>
            </w:tcBorders>
            <w:shd w:val="clear" w:color="auto" w:fill="auto"/>
            <w:noWrap/>
            <w:vAlign w:val="center"/>
            <w:hideMark/>
          </w:tcPr>
          <w:p w14:paraId="324702C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6941F2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22075F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0FE06E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2FEB01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172907D4"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5060BBA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0BF38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51" w:type="dxa"/>
            <w:tcBorders>
              <w:top w:val="nil"/>
              <w:left w:val="nil"/>
              <w:bottom w:val="single" w:sz="4" w:space="0" w:color="auto"/>
              <w:right w:val="single" w:sz="4" w:space="0" w:color="auto"/>
            </w:tcBorders>
            <w:shd w:val="clear" w:color="000000" w:fill="FFFFFF"/>
            <w:hideMark/>
          </w:tcPr>
          <w:p w14:paraId="278B21B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F98695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000000"/>
              <w:right w:val="single" w:sz="4" w:space="0" w:color="000000"/>
            </w:tcBorders>
            <w:shd w:val="clear" w:color="auto" w:fill="auto"/>
            <w:noWrap/>
            <w:vAlign w:val="center"/>
            <w:hideMark/>
          </w:tcPr>
          <w:p w14:paraId="350E8A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32,8</w:t>
            </w:r>
          </w:p>
        </w:tc>
        <w:tc>
          <w:tcPr>
            <w:tcW w:w="1275" w:type="dxa"/>
            <w:tcBorders>
              <w:top w:val="nil"/>
              <w:left w:val="nil"/>
              <w:bottom w:val="single" w:sz="4" w:space="0" w:color="000000"/>
              <w:right w:val="single" w:sz="4" w:space="0" w:color="000000"/>
            </w:tcBorders>
            <w:shd w:val="clear" w:color="auto" w:fill="auto"/>
            <w:noWrap/>
            <w:vAlign w:val="center"/>
            <w:hideMark/>
          </w:tcPr>
          <w:p w14:paraId="09EAAE5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33,9</w:t>
            </w:r>
          </w:p>
        </w:tc>
        <w:tc>
          <w:tcPr>
            <w:tcW w:w="1275" w:type="dxa"/>
            <w:tcBorders>
              <w:top w:val="nil"/>
              <w:left w:val="nil"/>
              <w:bottom w:val="single" w:sz="4" w:space="0" w:color="000000"/>
              <w:right w:val="single" w:sz="4" w:space="0" w:color="000000"/>
            </w:tcBorders>
            <w:shd w:val="clear" w:color="auto" w:fill="auto"/>
            <w:noWrap/>
            <w:vAlign w:val="center"/>
            <w:hideMark/>
          </w:tcPr>
          <w:p w14:paraId="0B2E3E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57,1</w:t>
            </w:r>
          </w:p>
        </w:tc>
        <w:tc>
          <w:tcPr>
            <w:tcW w:w="1277" w:type="dxa"/>
            <w:tcBorders>
              <w:top w:val="nil"/>
              <w:left w:val="nil"/>
              <w:bottom w:val="single" w:sz="4" w:space="0" w:color="000000"/>
              <w:right w:val="single" w:sz="4" w:space="0" w:color="000000"/>
            </w:tcBorders>
            <w:shd w:val="clear" w:color="auto" w:fill="auto"/>
            <w:noWrap/>
            <w:vAlign w:val="center"/>
            <w:hideMark/>
          </w:tcPr>
          <w:p w14:paraId="081AF6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58,6</w:t>
            </w:r>
          </w:p>
        </w:tc>
        <w:tc>
          <w:tcPr>
            <w:tcW w:w="1276" w:type="dxa"/>
            <w:tcBorders>
              <w:top w:val="nil"/>
              <w:left w:val="nil"/>
              <w:bottom w:val="single" w:sz="4" w:space="0" w:color="000000"/>
              <w:right w:val="single" w:sz="4" w:space="0" w:color="000000"/>
            </w:tcBorders>
            <w:shd w:val="clear" w:color="auto" w:fill="auto"/>
            <w:noWrap/>
            <w:vAlign w:val="center"/>
            <w:hideMark/>
          </w:tcPr>
          <w:p w14:paraId="0D65391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60,1</w:t>
            </w:r>
          </w:p>
        </w:tc>
        <w:tc>
          <w:tcPr>
            <w:tcW w:w="1275" w:type="dxa"/>
            <w:tcBorders>
              <w:top w:val="nil"/>
              <w:left w:val="nil"/>
              <w:bottom w:val="single" w:sz="4" w:space="0" w:color="000000"/>
              <w:right w:val="single" w:sz="4" w:space="0" w:color="000000"/>
            </w:tcBorders>
            <w:shd w:val="clear" w:color="auto" w:fill="auto"/>
            <w:noWrap/>
            <w:vAlign w:val="center"/>
            <w:hideMark/>
          </w:tcPr>
          <w:p w14:paraId="7F4BB9E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61,6</w:t>
            </w:r>
          </w:p>
        </w:tc>
      </w:tr>
      <w:tr w:rsidR="00996507" w:rsidRPr="00996507" w14:paraId="2A51BFFC" w14:textId="77777777" w:rsidTr="00996507">
        <w:trPr>
          <w:trHeight w:val="1590"/>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1C1E093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Организация муниципального управления</w:t>
            </w:r>
          </w:p>
        </w:tc>
        <w:tc>
          <w:tcPr>
            <w:tcW w:w="4378" w:type="dxa"/>
            <w:tcBorders>
              <w:top w:val="nil"/>
              <w:left w:val="nil"/>
              <w:bottom w:val="single" w:sz="4" w:space="0" w:color="auto"/>
              <w:right w:val="single" w:sz="4" w:space="0" w:color="auto"/>
            </w:tcBorders>
            <w:shd w:val="clear" w:color="000000" w:fill="FFFFFF"/>
            <w:hideMark/>
          </w:tcPr>
          <w:p w14:paraId="4753409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51" w:type="dxa"/>
            <w:tcBorders>
              <w:top w:val="nil"/>
              <w:left w:val="nil"/>
              <w:bottom w:val="single" w:sz="4" w:space="0" w:color="auto"/>
              <w:right w:val="single" w:sz="4" w:space="0" w:color="auto"/>
            </w:tcBorders>
            <w:shd w:val="clear" w:color="000000" w:fill="FFFFFF"/>
            <w:hideMark/>
          </w:tcPr>
          <w:p w14:paraId="5FE2C07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8FF8C7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31</w:t>
            </w:r>
          </w:p>
        </w:tc>
        <w:tc>
          <w:tcPr>
            <w:tcW w:w="1276" w:type="dxa"/>
            <w:tcBorders>
              <w:top w:val="nil"/>
              <w:left w:val="nil"/>
              <w:bottom w:val="single" w:sz="4" w:space="0" w:color="000000"/>
              <w:right w:val="single" w:sz="4" w:space="0" w:color="000000"/>
            </w:tcBorders>
            <w:shd w:val="clear" w:color="000000" w:fill="C0C0C0"/>
            <w:noWrap/>
            <w:vAlign w:val="center"/>
            <w:hideMark/>
          </w:tcPr>
          <w:p w14:paraId="1EBCCA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57,4</w:t>
            </w:r>
          </w:p>
        </w:tc>
        <w:tc>
          <w:tcPr>
            <w:tcW w:w="1275" w:type="dxa"/>
            <w:tcBorders>
              <w:top w:val="nil"/>
              <w:left w:val="nil"/>
              <w:bottom w:val="single" w:sz="4" w:space="0" w:color="000000"/>
              <w:right w:val="single" w:sz="4" w:space="0" w:color="000000"/>
            </w:tcBorders>
            <w:shd w:val="clear" w:color="000000" w:fill="C0C0C0"/>
            <w:noWrap/>
            <w:vAlign w:val="center"/>
            <w:hideMark/>
          </w:tcPr>
          <w:p w14:paraId="4BB595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49,1</w:t>
            </w:r>
          </w:p>
        </w:tc>
        <w:tc>
          <w:tcPr>
            <w:tcW w:w="1275" w:type="dxa"/>
            <w:tcBorders>
              <w:top w:val="nil"/>
              <w:left w:val="nil"/>
              <w:bottom w:val="single" w:sz="4" w:space="0" w:color="000000"/>
              <w:right w:val="single" w:sz="4" w:space="0" w:color="000000"/>
            </w:tcBorders>
            <w:shd w:val="clear" w:color="000000" w:fill="C0C0C0"/>
            <w:noWrap/>
            <w:vAlign w:val="center"/>
            <w:hideMark/>
          </w:tcPr>
          <w:p w14:paraId="1036CB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44,7</w:t>
            </w:r>
          </w:p>
        </w:tc>
        <w:tc>
          <w:tcPr>
            <w:tcW w:w="1277" w:type="dxa"/>
            <w:tcBorders>
              <w:top w:val="nil"/>
              <w:left w:val="nil"/>
              <w:bottom w:val="single" w:sz="4" w:space="0" w:color="000000"/>
              <w:right w:val="single" w:sz="4" w:space="0" w:color="000000"/>
            </w:tcBorders>
            <w:shd w:val="clear" w:color="000000" w:fill="C0C0C0"/>
            <w:noWrap/>
            <w:vAlign w:val="center"/>
            <w:hideMark/>
          </w:tcPr>
          <w:p w14:paraId="2121AEE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61,0</w:t>
            </w:r>
          </w:p>
        </w:tc>
        <w:tc>
          <w:tcPr>
            <w:tcW w:w="1276" w:type="dxa"/>
            <w:tcBorders>
              <w:top w:val="nil"/>
              <w:left w:val="nil"/>
              <w:bottom w:val="single" w:sz="4" w:space="0" w:color="000000"/>
              <w:right w:val="single" w:sz="4" w:space="0" w:color="000000"/>
            </w:tcBorders>
            <w:shd w:val="clear" w:color="000000" w:fill="C0C0C0"/>
            <w:noWrap/>
            <w:vAlign w:val="center"/>
            <w:hideMark/>
          </w:tcPr>
          <w:p w14:paraId="243F7F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62,0</w:t>
            </w:r>
          </w:p>
        </w:tc>
        <w:tc>
          <w:tcPr>
            <w:tcW w:w="1275" w:type="dxa"/>
            <w:tcBorders>
              <w:top w:val="nil"/>
              <w:left w:val="nil"/>
              <w:bottom w:val="single" w:sz="4" w:space="0" w:color="000000"/>
              <w:right w:val="single" w:sz="4" w:space="0" w:color="000000"/>
            </w:tcBorders>
            <w:shd w:val="clear" w:color="000000" w:fill="C0C0C0"/>
            <w:noWrap/>
            <w:vAlign w:val="center"/>
            <w:hideMark/>
          </w:tcPr>
          <w:p w14:paraId="33038D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62,1</w:t>
            </w:r>
          </w:p>
        </w:tc>
      </w:tr>
      <w:tr w:rsidR="00996507" w:rsidRPr="00996507" w14:paraId="22EBCC5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D3EF2A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2F09F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1151" w:type="dxa"/>
            <w:tcBorders>
              <w:top w:val="nil"/>
              <w:left w:val="nil"/>
              <w:bottom w:val="single" w:sz="4" w:space="0" w:color="auto"/>
              <w:right w:val="single" w:sz="4" w:space="0" w:color="auto"/>
            </w:tcBorders>
            <w:shd w:val="clear" w:color="000000" w:fill="FFFFFF"/>
            <w:hideMark/>
          </w:tcPr>
          <w:p w14:paraId="341C3F9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3AC140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31.1</w:t>
            </w:r>
          </w:p>
        </w:tc>
        <w:tc>
          <w:tcPr>
            <w:tcW w:w="1276" w:type="dxa"/>
            <w:tcBorders>
              <w:top w:val="nil"/>
              <w:left w:val="nil"/>
              <w:bottom w:val="single" w:sz="4" w:space="0" w:color="000000"/>
              <w:right w:val="single" w:sz="4" w:space="0" w:color="000000"/>
            </w:tcBorders>
            <w:shd w:val="clear" w:color="auto" w:fill="auto"/>
            <w:noWrap/>
            <w:vAlign w:val="center"/>
            <w:hideMark/>
          </w:tcPr>
          <w:p w14:paraId="22D17F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2678 752,1</w:t>
            </w:r>
          </w:p>
        </w:tc>
        <w:tc>
          <w:tcPr>
            <w:tcW w:w="1275" w:type="dxa"/>
            <w:tcBorders>
              <w:top w:val="nil"/>
              <w:left w:val="nil"/>
              <w:bottom w:val="single" w:sz="4" w:space="0" w:color="000000"/>
              <w:right w:val="single" w:sz="4" w:space="0" w:color="000000"/>
            </w:tcBorders>
            <w:shd w:val="clear" w:color="auto" w:fill="auto"/>
            <w:noWrap/>
            <w:vAlign w:val="center"/>
            <w:hideMark/>
          </w:tcPr>
          <w:p w14:paraId="5A2830C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2383 058,1</w:t>
            </w:r>
          </w:p>
        </w:tc>
        <w:tc>
          <w:tcPr>
            <w:tcW w:w="1275" w:type="dxa"/>
            <w:tcBorders>
              <w:top w:val="nil"/>
              <w:left w:val="nil"/>
              <w:bottom w:val="single" w:sz="4" w:space="0" w:color="000000"/>
              <w:right w:val="single" w:sz="4" w:space="0" w:color="000000"/>
            </w:tcBorders>
            <w:shd w:val="clear" w:color="auto" w:fill="auto"/>
            <w:noWrap/>
            <w:vAlign w:val="center"/>
            <w:hideMark/>
          </w:tcPr>
          <w:p w14:paraId="52E425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2373 054,8</w:t>
            </w:r>
          </w:p>
        </w:tc>
        <w:tc>
          <w:tcPr>
            <w:tcW w:w="1277" w:type="dxa"/>
            <w:tcBorders>
              <w:top w:val="nil"/>
              <w:left w:val="nil"/>
              <w:bottom w:val="single" w:sz="4" w:space="0" w:color="000000"/>
              <w:right w:val="single" w:sz="4" w:space="0" w:color="000000"/>
            </w:tcBorders>
            <w:shd w:val="clear" w:color="auto" w:fill="auto"/>
            <w:noWrap/>
            <w:vAlign w:val="center"/>
            <w:hideMark/>
          </w:tcPr>
          <w:p w14:paraId="1585259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2365 635,0</w:t>
            </w:r>
          </w:p>
        </w:tc>
        <w:tc>
          <w:tcPr>
            <w:tcW w:w="1276" w:type="dxa"/>
            <w:tcBorders>
              <w:top w:val="nil"/>
              <w:left w:val="nil"/>
              <w:bottom w:val="single" w:sz="4" w:space="0" w:color="000000"/>
              <w:right w:val="single" w:sz="4" w:space="0" w:color="000000"/>
            </w:tcBorders>
            <w:shd w:val="clear" w:color="auto" w:fill="auto"/>
            <w:noWrap/>
            <w:vAlign w:val="center"/>
            <w:hideMark/>
          </w:tcPr>
          <w:p w14:paraId="300045A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2398 723,3</w:t>
            </w:r>
          </w:p>
        </w:tc>
        <w:tc>
          <w:tcPr>
            <w:tcW w:w="1275" w:type="dxa"/>
            <w:tcBorders>
              <w:top w:val="nil"/>
              <w:left w:val="nil"/>
              <w:bottom w:val="single" w:sz="4" w:space="0" w:color="000000"/>
              <w:right w:val="single" w:sz="4" w:space="0" w:color="000000"/>
            </w:tcBorders>
            <w:shd w:val="clear" w:color="auto" w:fill="auto"/>
            <w:noWrap/>
            <w:vAlign w:val="center"/>
            <w:hideMark/>
          </w:tcPr>
          <w:p w14:paraId="157E22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2433 588,4</w:t>
            </w:r>
          </w:p>
        </w:tc>
      </w:tr>
      <w:tr w:rsidR="00996507" w:rsidRPr="00996507" w14:paraId="2ABF4559"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B0A299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FEABB2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Общий объем собственных доходов бюджета муниципального образования (без учета субвенций)</w:t>
            </w:r>
          </w:p>
        </w:tc>
        <w:tc>
          <w:tcPr>
            <w:tcW w:w="1151" w:type="dxa"/>
            <w:tcBorders>
              <w:top w:val="nil"/>
              <w:left w:val="nil"/>
              <w:bottom w:val="single" w:sz="4" w:space="0" w:color="auto"/>
              <w:right w:val="single" w:sz="4" w:space="0" w:color="auto"/>
            </w:tcBorders>
            <w:shd w:val="clear" w:color="000000" w:fill="FFFFFF"/>
            <w:hideMark/>
          </w:tcPr>
          <w:p w14:paraId="4B1BC3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0325262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31.2</w:t>
            </w:r>
          </w:p>
        </w:tc>
        <w:tc>
          <w:tcPr>
            <w:tcW w:w="1276" w:type="dxa"/>
            <w:tcBorders>
              <w:top w:val="nil"/>
              <w:left w:val="nil"/>
              <w:bottom w:val="single" w:sz="4" w:space="0" w:color="000000"/>
              <w:right w:val="single" w:sz="4" w:space="0" w:color="000000"/>
            </w:tcBorders>
            <w:shd w:val="clear" w:color="auto" w:fill="auto"/>
            <w:noWrap/>
            <w:vAlign w:val="center"/>
            <w:hideMark/>
          </w:tcPr>
          <w:p w14:paraId="4334B1A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4668 534,4</w:t>
            </w:r>
          </w:p>
        </w:tc>
        <w:tc>
          <w:tcPr>
            <w:tcW w:w="1275" w:type="dxa"/>
            <w:tcBorders>
              <w:top w:val="nil"/>
              <w:left w:val="nil"/>
              <w:bottom w:val="single" w:sz="4" w:space="0" w:color="000000"/>
              <w:right w:val="single" w:sz="4" w:space="0" w:color="000000"/>
            </w:tcBorders>
            <w:shd w:val="clear" w:color="auto" w:fill="auto"/>
            <w:noWrap/>
            <w:vAlign w:val="center"/>
            <w:hideMark/>
          </w:tcPr>
          <w:p w14:paraId="579042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4855 005,8</w:t>
            </w:r>
          </w:p>
        </w:tc>
        <w:tc>
          <w:tcPr>
            <w:tcW w:w="1275" w:type="dxa"/>
            <w:tcBorders>
              <w:top w:val="nil"/>
              <w:left w:val="nil"/>
              <w:bottom w:val="single" w:sz="4" w:space="0" w:color="000000"/>
              <w:right w:val="single" w:sz="4" w:space="0" w:color="000000"/>
            </w:tcBorders>
            <w:shd w:val="clear" w:color="auto" w:fill="auto"/>
            <w:noWrap/>
            <w:vAlign w:val="center"/>
            <w:hideMark/>
          </w:tcPr>
          <w:p w14:paraId="5456788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5314 697,0</w:t>
            </w:r>
          </w:p>
        </w:tc>
        <w:tc>
          <w:tcPr>
            <w:tcW w:w="1277" w:type="dxa"/>
            <w:tcBorders>
              <w:top w:val="nil"/>
              <w:left w:val="nil"/>
              <w:bottom w:val="single" w:sz="4" w:space="0" w:color="000000"/>
              <w:right w:val="single" w:sz="4" w:space="0" w:color="000000"/>
            </w:tcBorders>
            <w:shd w:val="clear" w:color="auto" w:fill="auto"/>
            <w:noWrap/>
            <w:vAlign w:val="center"/>
            <w:hideMark/>
          </w:tcPr>
          <w:p w14:paraId="145BF58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3875 845,9</w:t>
            </w:r>
          </w:p>
        </w:tc>
        <w:tc>
          <w:tcPr>
            <w:tcW w:w="1276" w:type="dxa"/>
            <w:tcBorders>
              <w:top w:val="nil"/>
              <w:left w:val="nil"/>
              <w:bottom w:val="single" w:sz="4" w:space="0" w:color="000000"/>
              <w:right w:val="single" w:sz="4" w:space="0" w:color="000000"/>
            </w:tcBorders>
            <w:shd w:val="clear" w:color="auto" w:fill="auto"/>
            <w:noWrap/>
            <w:vAlign w:val="center"/>
            <w:hideMark/>
          </w:tcPr>
          <w:p w14:paraId="26E6B4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3870 528,6</w:t>
            </w:r>
          </w:p>
        </w:tc>
        <w:tc>
          <w:tcPr>
            <w:tcW w:w="1275" w:type="dxa"/>
            <w:tcBorders>
              <w:top w:val="nil"/>
              <w:left w:val="nil"/>
              <w:bottom w:val="single" w:sz="4" w:space="0" w:color="000000"/>
              <w:right w:val="single" w:sz="4" w:space="0" w:color="000000"/>
            </w:tcBorders>
            <w:shd w:val="clear" w:color="auto" w:fill="auto"/>
            <w:noWrap/>
            <w:vAlign w:val="center"/>
            <w:hideMark/>
          </w:tcPr>
          <w:p w14:paraId="7BA958C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3920 469,8</w:t>
            </w:r>
          </w:p>
        </w:tc>
      </w:tr>
      <w:tr w:rsidR="00996507" w:rsidRPr="00996507" w14:paraId="34E2DFEC"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06D441A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7E645E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51" w:type="dxa"/>
            <w:tcBorders>
              <w:top w:val="nil"/>
              <w:left w:val="nil"/>
              <w:bottom w:val="single" w:sz="4" w:space="0" w:color="auto"/>
              <w:right w:val="single" w:sz="4" w:space="0" w:color="auto"/>
            </w:tcBorders>
            <w:shd w:val="clear" w:color="000000" w:fill="FFFFFF"/>
            <w:hideMark/>
          </w:tcPr>
          <w:p w14:paraId="7813AFC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64AC2A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32</w:t>
            </w:r>
          </w:p>
        </w:tc>
        <w:tc>
          <w:tcPr>
            <w:tcW w:w="1276" w:type="dxa"/>
            <w:tcBorders>
              <w:top w:val="nil"/>
              <w:left w:val="nil"/>
              <w:bottom w:val="single" w:sz="4" w:space="0" w:color="000000"/>
              <w:right w:val="single" w:sz="4" w:space="0" w:color="000000"/>
            </w:tcBorders>
            <w:shd w:val="clear" w:color="000000" w:fill="C0C0C0"/>
            <w:noWrap/>
            <w:vAlign w:val="center"/>
            <w:hideMark/>
          </w:tcPr>
          <w:p w14:paraId="1D1B43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A062C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9D9A6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4DD427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5EFE43E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B7F120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r>
      <w:tr w:rsidR="00996507" w:rsidRPr="00996507" w14:paraId="327DB19F"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EB52A9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30A6A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1151" w:type="dxa"/>
            <w:tcBorders>
              <w:top w:val="nil"/>
              <w:left w:val="nil"/>
              <w:bottom w:val="single" w:sz="4" w:space="0" w:color="auto"/>
              <w:right w:val="single" w:sz="4" w:space="0" w:color="auto"/>
            </w:tcBorders>
            <w:shd w:val="clear" w:color="000000" w:fill="FFFFFF"/>
            <w:hideMark/>
          </w:tcPr>
          <w:p w14:paraId="7074F6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52275D2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32.1</w:t>
            </w:r>
          </w:p>
        </w:tc>
        <w:tc>
          <w:tcPr>
            <w:tcW w:w="1276" w:type="dxa"/>
            <w:tcBorders>
              <w:top w:val="nil"/>
              <w:left w:val="nil"/>
              <w:bottom w:val="single" w:sz="4" w:space="0" w:color="000000"/>
              <w:right w:val="single" w:sz="4" w:space="0" w:color="000000"/>
            </w:tcBorders>
            <w:shd w:val="clear" w:color="auto" w:fill="auto"/>
            <w:noWrap/>
            <w:vAlign w:val="center"/>
            <w:hideMark/>
          </w:tcPr>
          <w:p w14:paraId="4B2D7E0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2B47C8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7BD927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54BCBA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6755301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4A22C21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077A9C80"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B13E77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5A4B8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Полная учетная стоимость основных фондов организаций муниципальной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7B4A87A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5438CE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32.2</w:t>
            </w:r>
          </w:p>
        </w:tc>
        <w:tc>
          <w:tcPr>
            <w:tcW w:w="1276" w:type="dxa"/>
            <w:tcBorders>
              <w:top w:val="nil"/>
              <w:left w:val="nil"/>
              <w:bottom w:val="single" w:sz="4" w:space="0" w:color="000000"/>
              <w:right w:val="single" w:sz="4" w:space="0" w:color="000000"/>
            </w:tcBorders>
            <w:shd w:val="clear" w:color="auto" w:fill="auto"/>
            <w:noWrap/>
            <w:vAlign w:val="center"/>
            <w:hideMark/>
          </w:tcPr>
          <w:p w14:paraId="3B8155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20447 950,0</w:t>
            </w:r>
          </w:p>
        </w:tc>
        <w:tc>
          <w:tcPr>
            <w:tcW w:w="1275" w:type="dxa"/>
            <w:tcBorders>
              <w:top w:val="nil"/>
              <w:left w:val="nil"/>
              <w:bottom w:val="single" w:sz="4" w:space="0" w:color="000000"/>
              <w:right w:val="single" w:sz="4" w:space="0" w:color="000000"/>
            </w:tcBorders>
            <w:shd w:val="clear" w:color="auto" w:fill="auto"/>
            <w:noWrap/>
            <w:vAlign w:val="center"/>
            <w:hideMark/>
          </w:tcPr>
          <w:p w14:paraId="6BB648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17269 817,0</w:t>
            </w:r>
          </w:p>
        </w:tc>
        <w:tc>
          <w:tcPr>
            <w:tcW w:w="1275" w:type="dxa"/>
            <w:tcBorders>
              <w:top w:val="nil"/>
              <w:left w:val="nil"/>
              <w:bottom w:val="single" w:sz="4" w:space="0" w:color="000000"/>
              <w:right w:val="single" w:sz="4" w:space="0" w:color="000000"/>
            </w:tcBorders>
            <w:shd w:val="clear" w:color="auto" w:fill="auto"/>
            <w:noWrap/>
            <w:vAlign w:val="center"/>
            <w:hideMark/>
          </w:tcPr>
          <w:p w14:paraId="4B0383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17732 769,0</w:t>
            </w:r>
          </w:p>
        </w:tc>
        <w:tc>
          <w:tcPr>
            <w:tcW w:w="1277" w:type="dxa"/>
            <w:tcBorders>
              <w:top w:val="nil"/>
              <w:left w:val="nil"/>
              <w:bottom w:val="single" w:sz="4" w:space="0" w:color="000000"/>
              <w:right w:val="single" w:sz="4" w:space="0" w:color="000000"/>
            </w:tcBorders>
            <w:shd w:val="clear" w:color="auto" w:fill="auto"/>
            <w:noWrap/>
            <w:vAlign w:val="center"/>
            <w:hideMark/>
          </w:tcPr>
          <w:p w14:paraId="60DEBC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21099 168,5</w:t>
            </w:r>
          </w:p>
        </w:tc>
        <w:tc>
          <w:tcPr>
            <w:tcW w:w="1276" w:type="dxa"/>
            <w:tcBorders>
              <w:top w:val="nil"/>
              <w:left w:val="nil"/>
              <w:bottom w:val="single" w:sz="4" w:space="0" w:color="000000"/>
              <w:right w:val="single" w:sz="4" w:space="0" w:color="000000"/>
            </w:tcBorders>
            <w:shd w:val="clear" w:color="auto" w:fill="auto"/>
            <w:noWrap/>
            <w:vAlign w:val="center"/>
            <w:hideMark/>
          </w:tcPr>
          <w:p w14:paraId="5BFB906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21147 649,8</w:t>
            </w:r>
          </w:p>
        </w:tc>
        <w:tc>
          <w:tcPr>
            <w:tcW w:w="1275" w:type="dxa"/>
            <w:tcBorders>
              <w:top w:val="nil"/>
              <w:left w:val="nil"/>
              <w:bottom w:val="single" w:sz="4" w:space="0" w:color="000000"/>
              <w:right w:val="single" w:sz="4" w:space="0" w:color="000000"/>
            </w:tcBorders>
            <w:shd w:val="clear" w:color="auto" w:fill="auto"/>
            <w:noWrap/>
            <w:vAlign w:val="center"/>
            <w:hideMark/>
          </w:tcPr>
          <w:p w14:paraId="5CDF8E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22183 862,2</w:t>
            </w:r>
          </w:p>
        </w:tc>
      </w:tr>
      <w:tr w:rsidR="00996507" w:rsidRPr="00996507" w14:paraId="370220B6"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5D286C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8898DE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5015E2A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2A53E1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33</w:t>
            </w:r>
          </w:p>
        </w:tc>
        <w:tc>
          <w:tcPr>
            <w:tcW w:w="1276" w:type="dxa"/>
            <w:tcBorders>
              <w:top w:val="nil"/>
              <w:left w:val="nil"/>
              <w:bottom w:val="single" w:sz="4" w:space="0" w:color="000000"/>
              <w:right w:val="single" w:sz="4" w:space="0" w:color="000000"/>
            </w:tcBorders>
            <w:shd w:val="clear" w:color="auto" w:fill="auto"/>
            <w:noWrap/>
            <w:vAlign w:val="center"/>
            <w:hideMark/>
          </w:tcPr>
          <w:p w14:paraId="484BEA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1736 173,7</w:t>
            </w:r>
          </w:p>
        </w:tc>
        <w:tc>
          <w:tcPr>
            <w:tcW w:w="1275" w:type="dxa"/>
            <w:tcBorders>
              <w:top w:val="nil"/>
              <w:left w:val="nil"/>
              <w:bottom w:val="single" w:sz="4" w:space="0" w:color="000000"/>
              <w:right w:val="single" w:sz="4" w:space="0" w:color="000000"/>
            </w:tcBorders>
            <w:shd w:val="clear" w:color="auto" w:fill="auto"/>
            <w:noWrap/>
            <w:vAlign w:val="center"/>
            <w:hideMark/>
          </w:tcPr>
          <w:p w14:paraId="236650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1597 279,8</w:t>
            </w:r>
          </w:p>
        </w:tc>
        <w:tc>
          <w:tcPr>
            <w:tcW w:w="1275" w:type="dxa"/>
            <w:tcBorders>
              <w:top w:val="nil"/>
              <w:left w:val="nil"/>
              <w:bottom w:val="single" w:sz="4" w:space="0" w:color="000000"/>
              <w:right w:val="single" w:sz="4" w:space="0" w:color="000000"/>
            </w:tcBorders>
            <w:shd w:val="clear" w:color="auto" w:fill="auto"/>
            <w:noWrap/>
            <w:vAlign w:val="center"/>
            <w:hideMark/>
          </w:tcPr>
          <w:p w14:paraId="2724470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1503 765,8</w:t>
            </w:r>
          </w:p>
        </w:tc>
        <w:tc>
          <w:tcPr>
            <w:tcW w:w="1277" w:type="dxa"/>
            <w:tcBorders>
              <w:top w:val="nil"/>
              <w:left w:val="nil"/>
              <w:bottom w:val="single" w:sz="4" w:space="0" w:color="000000"/>
              <w:right w:val="single" w:sz="4" w:space="0" w:color="000000"/>
            </w:tcBorders>
            <w:shd w:val="clear" w:color="auto" w:fill="auto"/>
            <w:noWrap/>
            <w:vAlign w:val="center"/>
            <w:hideMark/>
          </w:tcPr>
          <w:p w14:paraId="35C5F7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1480 000,0</w:t>
            </w:r>
          </w:p>
        </w:tc>
        <w:tc>
          <w:tcPr>
            <w:tcW w:w="1276" w:type="dxa"/>
            <w:tcBorders>
              <w:top w:val="nil"/>
              <w:left w:val="nil"/>
              <w:bottom w:val="single" w:sz="4" w:space="0" w:color="000000"/>
              <w:right w:val="single" w:sz="4" w:space="0" w:color="000000"/>
            </w:tcBorders>
            <w:shd w:val="clear" w:color="auto" w:fill="auto"/>
            <w:noWrap/>
            <w:vAlign w:val="center"/>
            <w:hideMark/>
          </w:tcPr>
          <w:p w14:paraId="06BB14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1450 000,0</w:t>
            </w:r>
          </w:p>
        </w:tc>
        <w:tc>
          <w:tcPr>
            <w:tcW w:w="1275" w:type="dxa"/>
            <w:tcBorders>
              <w:top w:val="nil"/>
              <w:left w:val="nil"/>
              <w:bottom w:val="single" w:sz="4" w:space="0" w:color="000000"/>
              <w:right w:val="single" w:sz="4" w:space="0" w:color="000000"/>
            </w:tcBorders>
            <w:shd w:val="clear" w:color="auto" w:fill="auto"/>
            <w:noWrap/>
            <w:vAlign w:val="center"/>
            <w:hideMark/>
          </w:tcPr>
          <w:p w14:paraId="52202A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1400 000,0</w:t>
            </w:r>
          </w:p>
        </w:tc>
      </w:tr>
      <w:tr w:rsidR="00996507" w:rsidRPr="00996507" w14:paraId="5E0A71D6"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67ADADD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CF24AF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51" w:type="dxa"/>
            <w:tcBorders>
              <w:top w:val="nil"/>
              <w:left w:val="nil"/>
              <w:bottom w:val="single" w:sz="4" w:space="0" w:color="auto"/>
              <w:right w:val="single" w:sz="4" w:space="0" w:color="auto"/>
            </w:tcBorders>
            <w:shd w:val="clear" w:color="000000" w:fill="FFFFFF"/>
            <w:hideMark/>
          </w:tcPr>
          <w:p w14:paraId="46330BB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F54925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34</w:t>
            </w:r>
          </w:p>
        </w:tc>
        <w:tc>
          <w:tcPr>
            <w:tcW w:w="1276" w:type="dxa"/>
            <w:tcBorders>
              <w:top w:val="nil"/>
              <w:left w:val="nil"/>
              <w:bottom w:val="single" w:sz="4" w:space="0" w:color="000000"/>
              <w:right w:val="single" w:sz="4" w:space="0" w:color="000000"/>
            </w:tcBorders>
            <w:shd w:val="clear" w:color="000000" w:fill="C0C0C0"/>
            <w:noWrap/>
            <w:vAlign w:val="center"/>
            <w:hideMark/>
          </w:tcPr>
          <w:p w14:paraId="5A7E01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F09577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46D31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3C1C101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1BA2FA6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66E3C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3AFA8C08"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51BE11F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3C4B1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Величина просроченной кредиторской задолженности по оплате труда (включая начисления на оплату труда) муниципальных учреждений (на конец года)</w:t>
            </w:r>
          </w:p>
        </w:tc>
        <w:tc>
          <w:tcPr>
            <w:tcW w:w="1151" w:type="dxa"/>
            <w:tcBorders>
              <w:top w:val="nil"/>
              <w:left w:val="nil"/>
              <w:bottom w:val="single" w:sz="4" w:space="0" w:color="auto"/>
              <w:right w:val="single" w:sz="4" w:space="0" w:color="auto"/>
            </w:tcBorders>
            <w:shd w:val="clear" w:color="000000" w:fill="FFFFFF"/>
            <w:hideMark/>
          </w:tcPr>
          <w:p w14:paraId="2BEBF3C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15F4B34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34.1</w:t>
            </w:r>
          </w:p>
        </w:tc>
        <w:tc>
          <w:tcPr>
            <w:tcW w:w="1276" w:type="dxa"/>
            <w:tcBorders>
              <w:top w:val="nil"/>
              <w:left w:val="nil"/>
              <w:bottom w:val="single" w:sz="4" w:space="0" w:color="000000"/>
              <w:right w:val="single" w:sz="4" w:space="0" w:color="000000"/>
            </w:tcBorders>
            <w:shd w:val="clear" w:color="auto" w:fill="auto"/>
            <w:noWrap/>
            <w:vAlign w:val="center"/>
            <w:hideMark/>
          </w:tcPr>
          <w:p w14:paraId="678D65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36791C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5F3CD3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3B7D89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5A131F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AAFF2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A4CCAD8"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8DAEE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1FA2F3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Общий объем расходов муниципального образования на оплату труда (включая начисления на оплату труда) муниципальных учреждений</w:t>
            </w:r>
          </w:p>
        </w:tc>
        <w:tc>
          <w:tcPr>
            <w:tcW w:w="1151" w:type="dxa"/>
            <w:tcBorders>
              <w:top w:val="nil"/>
              <w:left w:val="nil"/>
              <w:bottom w:val="single" w:sz="4" w:space="0" w:color="auto"/>
              <w:right w:val="single" w:sz="4" w:space="0" w:color="auto"/>
            </w:tcBorders>
            <w:shd w:val="clear" w:color="000000" w:fill="FFFFFF"/>
            <w:hideMark/>
          </w:tcPr>
          <w:p w14:paraId="35F2BD8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3C5DCEB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34.2</w:t>
            </w:r>
          </w:p>
        </w:tc>
        <w:tc>
          <w:tcPr>
            <w:tcW w:w="1276" w:type="dxa"/>
            <w:tcBorders>
              <w:top w:val="nil"/>
              <w:left w:val="nil"/>
              <w:bottom w:val="single" w:sz="4" w:space="0" w:color="000000"/>
              <w:right w:val="single" w:sz="4" w:space="0" w:color="000000"/>
            </w:tcBorders>
            <w:shd w:val="clear" w:color="auto" w:fill="auto"/>
            <w:noWrap/>
            <w:vAlign w:val="center"/>
            <w:hideMark/>
          </w:tcPr>
          <w:p w14:paraId="75D11B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3256 312,1</w:t>
            </w:r>
          </w:p>
        </w:tc>
        <w:tc>
          <w:tcPr>
            <w:tcW w:w="1275" w:type="dxa"/>
            <w:tcBorders>
              <w:top w:val="nil"/>
              <w:left w:val="nil"/>
              <w:bottom w:val="single" w:sz="4" w:space="0" w:color="000000"/>
              <w:right w:val="single" w:sz="4" w:space="0" w:color="000000"/>
            </w:tcBorders>
            <w:shd w:val="clear" w:color="auto" w:fill="auto"/>
            <w:noWrap/>
            <w:vAlign w:val="center"/>
            <w:hideMark/>
          </w:tcPr>
          <w:p w14:paraId="721F8E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3428 509,6</w:t>
            </w:r>
          </w:p>
        </w:tc>
        <w:tc>
          <w:tcPr>
            <w:tcW w:w="1275" w:type="dxa"/>
            <w:tcBorders>
              <w:top w:val="nil"/>
              <w:left w:val="nil"/>
              <w:bottom w:val="single" w:sz="4" w:space="0" w:color="000000"/>
              <w:right w:val="single" w:sz="4" w:space="0" w:color="000000"/>
            </w:tcBorders>
            <w:shd w:val="clear" w:color="auto" w:fill="auto"/>
            <w:noWrap/>
            <w:vAlign w:val="center"/>
            <w:hideMark/>
          </w:tcPr>
          <w:p w14:paraId="3FB2FEA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3649 127,3</w:t>
            </w:r>
          </w:p>
        </w:tc>
        <w:tc>
          <w:tcPr>
            <w:tcW w:w="1277" w:type="dxa"/>
            <w:tcBorders>
              <w:top w:val="nil"/>
              <w:left w:val="nil"/>
              <w:bottom w:val="single" w:sz="4" w:space="0" w:color="000000"/>
              <w:right w:val="single" w:sz="4" w:space="0" w:color="000000"/>
            </w:tcBorders>
            <w:shd w:val="clear" w:color="auto" w:fill="auto"/>
            <w:noWrap/>
            <w:vAlign w:val="center"/>
            <w:hideMark/>
          </w:tcPr>
          <w:p w14:paraId="50DF8C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3722 170,9</w:t>
            </w:r>
          </w:p>
        </w:tc>
        <w:tc>
          <w:tcPr>
            <w:tcW w:w="1276" w:type="dxa"/>
            <w:tcBorders>
              <w:top w:val="nil"/>
              <w:left w:val="nil"/>
              <w:bottom w:val="single" w:sz="4" w:space="0" w:color="000000"/>
              <w:right w:val="single" w:sz="4" w:space="0" w:color="000000"/>
            </w:tcBorders>
            <w:shd w:val="clear" w:color="auto" w:fill="auto"/>
            <w:noWrap/>
            <w:vAlign w:val="center"/>
            <w:hideMark/>
          </w:tcPr>
          <w:p w14:paraId="2B1665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3615 071,1</w:t>
            </w:r>
          </w:p>
        </w:tc>
        <w:tc>
          <w:tcPr>
            <w:tcW w:w="1275" w:type="dxa"/>
            <w:tcBorders>
              <w:top w:val="nil"/>
              <w:left w:val="nil"/>
              <w:bottom w:val="single" w:sz="4" w:space="0" w:color="000000"/>
              <w:right w:val="single" w:sz="4" w:space="0" w:color="000000"/>
            </w:tcBorders>
            <w:shd w:val="clear" w:color="auto" w:fill="auto"/>
            <w:noWrap/>
            <w:vAlign w:val="center"/>
            <w:hideMark/>
          </w:tcPr>
          <w:p w14:paraId="152F7F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3474 478,7</w:t>
            </w:r>
          </w:p>
        </w:tc>
      </w:tr>
      <w:tr w:rsidR="00996507" w:rsidRPr="00996507" w14:paraId="7BF875A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F0EAF7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16D35E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55B9AD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4F31505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35</w:t>
            </w:r>
          </w:p>
        </w:tc>
        <w:tc>
          <w:tcPr>
            <w:tcW w:w="1276" w:type="dxa"/>
            <w:tcBorders>
              <w:top w:val="nil"/>
              <w:left w:val="nil"/>
              <w:bottom w:val="single" w:sz="4" w:space="0" w:color="000000"/>
              <w:right w:val="single" w:sz="4" w:space="0" w:color="000000"/>
            </w:tcBorders>
            <w:shd w:val="clear" w:color="000000" w:fill="C0C0C0"/>
            <w:noWrap/>
            <w:vAlign w:val="center"/>
            <w:hideMark/>
          </w:tcPr>
          <w:p w14:paraId="31E35B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4 661,8</w:t>
            </w:r>
          </w:p>
        </w:tc>
        <w:tc>
          <w:tcPr>
            <w:tcW w:w="1275" w:type="dxa"/>
            <w:tcBorders>
              <w:top w:val="nil"/>
              <w:left w:val="nil"/>
              <w:bottom w:val="single" w:sz="4" w:space="0" w:color="000000"/>
              <w:right w:val="single" w:sz="4" w:space="0" w:color="000000"/>
            </w:tcBorders>
            <w:shd w:val="clear" w:color="000000" w:fill="C0C0C0"/>
            <w:noWrap/>
            <w:vAlign w:val="center"/>
            <w:hideMark/>
          </w:tcPr>
          <w:p w14:paraId="7A4253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4 576,0</w:t>
            </w:r>
          </w:p>
        </w:tc>
        <w:tc>
          <w:tcPr>
            <w:tcW w:w="1275" w:type="dxa"/>
            <w:tcBorders>
              <w:top w:val="nil"/>
              <w:left w:val="nil"/>
              <w:bottom w:val="single" w:sz="4" w:space="0" w:color="000000"/>
              <w:right w:val="single" w:sz="4" w:space="0" w:color="000000"/>
            </w:tcBorders>
            <w:shd w:val="clear" w:color="000000" w:fill="C0C0C0"/>
            <w:noWrap/>
            <w:vAlign w:val="center"/>
            <w:hideMark/>
          </w:tcPr>
          <w:p w14:paraId="5D9C3E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4 591,8</w:t>
            </w:r>
          </w:p>
        </w:tc>
        <w:tc>
          <w:tcPr>
            <w:tcW w:w="1277" w:type="dxa"/>
            <w:tcBorders>
              <w:top w:val="nil"/>
              <w:left w:val="nil"/>
              <w:bottom w:val="single" w:sz="4" w:space="0" w:color="000000"/>
              <w:right w:val="single" w:sz="4" w:space="0" w:color="000000"/>
            </w:tcBorders>
            <w:shd w:val="clear" w:color="000000" w:fill="C0C0C0"/>
            <w:noWrap/>
            <w:vAlign w:val="center"/>
            <w:hideMark/>
          </w:tcPr>
          <w:p w14:paraId="4E21A2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4 805,3</w:t>
            </w:r>
          </w:p>
        </w:tc>
        <w:tc>
          <w:tcPr>
            <w:tcW w:w="1276" w:type="dxa"/>
            <w:tcBorders>
              <w:top w:val="nil"/>
              <w:left w:val="nil"/>
              <w:bottom w:val="single" w:sz="4" w:space="0" w:color="000000"/>
              <w:right w:val="single" w:sz="4" w:space="0" w:color="000000"/>
            </w:tcBorders>
            <w:shd w:val="clear" w:color="000000" w:fill="C0C0C0"/>
            <w:noWrap/>
            <w:vAlign w:val="center"/>
            <w:hideMark/>
          </w:tcPr>
          <w:p w14:paraId="7B59528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4 690,7</w:t>
            </w:r>
          </w:p>
        </w:tc>
        <w:tc>
          <w:tcPr>
            <w:tcW w:w="1275" w:type="dxa"/>
            <w:tcBorders>
              <w:top w:val="nil"/>
              <w:left w:val="nil"/>
              <w:bottom w:val="single" w:sz="4" w:space="0" w:color="000000"/>
              <w:right w:val="single" w:sz="4" w:space="0" w:color="000000"/>
            </w:tcBorders>
            <w:shd w:val="clear" w:color="000000" w:fill="C0C0C0"/>
            <w:noWrap/>
            <w:vAlign w:val="center"/>
            <w:hideMark/>
          </w:tcPr>
          <w:p w14:paraId="2CC0D00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4 444,1</w:t>
            </w:r>
          </w:p>
        </w:tc>
      </w:tr>
      <w:tr w:rsidR="00996507" w:rsidRPr="00996507" w14:paraId="65DD548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5C75A5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E1BC6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Общий объем расходов бюджета муниципального образования на содержание работников органов местного самоуправления, всего</w:t>
            </w:r>
          </w:p>
        </w:tc>
        <w:tc>
          <w:tcPr>
            <w:tcW w:w="1151" w:type="dxa"/>
            <w:tcBorders>
              <w:top w:val="nil"/>
              <w:left w:val="nil"/>
              <w:bottom w:val="single" w:sz="4" w:space="0" w:color="auto"/>
              <w:right w:val="single" w:sz="4" w:space="0" w:color="auto"/>
            </w:tcBorders>
            <w:shd w:val="clear" w:color="000000" w:fill="FFFFFF"/>
            <w:hideMark/>
          </w:tcPr>
          <w:p w14:paraId="2E05C4D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2E5D248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35.1</w:t>
            </w:r>
          </w:p>
        </w:tc>
        <w:tc>
          <w:tcPr>
            <w:tcW w:w="1276" w:type="dxa"/>
            <w:tcBorders>
              <w:top w:val="nil"/>
              <w:left w:val="nil"/>
              <w:bottom w:val="single" w:sz="4" w:space="0" w:color="000000"/>
              <w:right w:val="single" w:sz="4" w:space="0" w:color="000000"/>
            </w:tcBorders>
            <w:shd w:val="clear" w:color="auto" w:fill="auto"/>
            <w:noWrap/>
            <w:vAlign w:val="center"/>
            <w:hideMark/>
          </w:tcPr>
          <w:p w14:paraId="464F20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440 076,0</w:t>
            </w:r>
          </w:p>
        </w:tc>
        <w:tc>
          <w:tcPr>
            <w:tcW w:w="1275" w:type="dxa"/>
            <w:tcBorders>
              <w:top w:val="nil"/>
              <w:left w:val="nil"/>
              <w:bottom w:val="single" w:sz="4" w:space="0" w:color="000000"/>
              <w:right w:val="single" w:sz="4" w:space="0" w:color="000000"/>
            </w:tcBorders>
            <w:shd w:val="clear" w:color="auto" w:fill="auto"/>
            <w:noWrap/>
            <w:vAlign w:val="center"/>
            <w:hideMark/>
          </w:tcPr>
          <w:p w14:paraId="6495A6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439 754,5</w:t>
            </w:r>
          </w:p>
        </w:tc>
        <w:tc>
          <w:tcPr>
            <w:tcW w:w="1275" w:type="dxa"/>
            <w:tcBorders>
              <w:top w:val="nil"/>
              <w:left w:val="nil"/>
              <w:bottom w:val="single" w:sz="4" w:space="0" w:color="000000"/>
              <w:right w:val="single" w:sz="4" w:space="0" w:color="000000"/>
            </w:tcBorders>
            <w:shd w:val="clear" w:color="auto" w:fill="auto"/>
            <w:noWrap/>
            <w:vAlign w:val="center"/>
            <w:hideMark/>
          </w:tcPr>
          <w:p w14:paraId="5C26EE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449 140,7</w:t>
            </w:r>
          </w:p>
        </w:tc>
        <w:tc>
          <w:tcPr>
            <w:tcW w:w="1277" w:type="dxa"/>
            <w:tcBorders>
              <w:top w:val="nil"/>
              <w:left w:val="nil"/>
              <w:bottom w:val="single" w:sz="4" w:space="0" w:color="000000"/>
              <w:right w:val="single" w:sz="4" w:space="0" w:color="000000"/>
            </w:tcBorders>
            <w:shd w:val="clear" w:color="auto" w:fill="auto"/>
            <w:noWrap/>
            <w:vAlign w:val="center"/>
            <w:hideMark/>
          </w:tcPr>
          <w:p w14:paraId="5CA790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478 610,9</w:t>
            </w:r>
          </w:p>
        </w:tc>
        <w:tc>
          <w:tcPr>
            <w:tcW w:w="1276" w:type="dxa"/>
            <w:tcBorders>
              <w:top w:val="nil"/>
              <w:left w:val="nil"/>
              <w:bottom w:val="single" w:sz="4" w:space="0" w:color="000000"/>
              <w:right w:val="single" w:sz="4" w:space="0" w:color="000000"/>
            </w:tcBorders>
            <w:shd w:val="clear" w:color="auto" w:fill="auto"/>
            <w:noWrap/>
            <w:vAlign w:val="center"/>
            <w:hideMark/>
          </w:tcPr>
          <w:p w14:paraId="2366DD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475 641,6</w:t>
            </w:r>
          </w:p>
        </w:tc>
        <w:tc>
          <w:tcPr>
            <w:tcW w:w="1275" w:type="dxa"/>
            <w:tcBorders>
              <w:top w:val="nil"/>
              <w:left w:val="nil"/>
              <w:bottom w:val="single" w:sz="4" w:space="0" w:color="000000"/>
              <w:right w:val="single" w:sz="4" w:space="0" w:color="000000"/>
            </w:tcBorders>
            <w:shd w:val="clear" w:color="auto" w:fill="auto"/>
            <w:noWrap/>
            <w:vAlign w:val="center"/>
            <w:hideMark/>
          </w:tcPr>
          <w:p w14:paraId="3C56B7F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458 630,9</w:t>
            </w:r>
          </w:p>
        </w:tc>
      </w:tr>
      <w:tr w:rsidR="00996507" w:rsidRPr="00996507" w14:paraId="0190344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70197C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328EFC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2484A05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да</w:t>
            </w:r>
          </w:p>
        </w:tc>
        <w:tc>
          <w:tcPr>
            <w:tcW w:w="992" w:type="dxa"/>
            <w:tcBorders>
              <w:top w:val="nil"/>
              <w:left w:val="nil"/>
              <w:bottom w:val="single" w:sz="4" w:space="0" w:color="auto"/>
              <w:right w:val="single" w:sz="4" w:space="0" w:color="auto"/>
            </w:tcBorders>
            <w:shd w:val="clear" w:color="000000" w:fill="FFFFFF"/>
            <w:hideMark/>
          </w:tcPr>
          <w:p w14:paraId="0F0899D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36</w:t>
            </w:r>
          </w:p>
        </w:tc>
        <w:tc>
          <w:tcPr>
            <w:tcW w:w="1276" w:type="dxa"/>
            <w:tcBorders>
              <w:top w:val="nil"/>
              <w:left w:val="nil"/>
              <w:bottom w:val="single" w:sz="4" w:space="0" w:color="000000"/>
              <w:right w:val="single" w:sz="4" w:space="0" w:color="000000"/>
            </w:tcBorders>
            <w:shd w:val="clear" w:color="auto" w:fill="auto"/>
            <w:noWrap/>
            <w:vAlign w:val="center"/>
            <w:hideMark/>
          </w:tcPr>
          <w:p w14:paraId="58021A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3C095F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E4523C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6D7A725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6" w:type="dxa"/>
            <w:tcBorders>
              <w:top w:val="nil"/>
              <w:left w:val="nil"/>
              <w:bottom w:val="single" w:sz="4" w:space="0" w:color="000000"/>
              <w:right w:val="single" w:sz="4" w:space="0" w:color="000000"/>
            </w:tcBorders>
            <w:shd w:val="clear" w:color="auto" w:fill="auto"/>
            <w:noWrap/>
            <w:vAlign w:val="center"/>
            <w:hideMark/>
          </w:tcPr>
          <w:p w14:paraId="0D8166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385074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r>
      <w:tr w:rsidR="00996507" w:rsidRPr="00996507" w14:paraId="23E95C2D"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14331D4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F611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061198C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 от числа опрошенных</w:t>
            </w:r>
          </w:p>
        </w:tc>
        <w:tc>
          <w:tcPr>
            <w:tcW w:w="992" w:type="dxa"/>
            <w:tcBorders>
              <w:top w:val="nil"/>
              <w:left w:val="nil"/>
              <w:bottom w:val="single" w:sz="4" w:space="0" w:color="auto"/>
              <w:right w:val="single" w:sz="4" w:space="0" w:color="auto"/>
            </w:tcBorders>
            <w:shd w:val="clear" w:color="000000" w:fill="FFFFFF"/>
            <w:hideMark/>
          </w:tcPr>
          <w:p w14:paraId="6C1F6BA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37</w:t>
            </w:r>
          </w:p>
        </w:tc>
        <w:tc>
          <w:tcPr>
            <w:tcW w:w="1276" w:type="dxa"/>
            <w:tcBorders>
              <w:top w:val="nil"/>
              <w:left w:val="nil"/>
              <w:bottom w:val="single" w:sz="4" w:space="0" w:color="000000"/>
              <w:right w:val="single" w:sz="4" w:space="0" w:color="000000"/>
            </w:tcBorders>
            <w:shd w:val="clear" w:color="auto" w:fill="auto"/>
            <w:noWrap/>
            <w:vAlign w:val="center"/>
            <w:hideMark/>
          </w:tcPr>
          <w:p w14:paraId="0C7144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c>
          <w:tcPr>
            <w:tcW w:w="1275" w:type="dxa"/>
            <w:tcBorders>
              <w:top w:val="nil"/>
              <w:left w:val="nil"/>
              <w:bottom w:val="single" w:sz="4" w:space="0" w:color="000000"/>
              <w:right w:val="single" w:sz="4" w:space="0" w:color="000000"/>
            </w:tcBorders>
            <w:shd w:val="clear" w:color="auto" w:fill="auto"/>
            <w:noWrap/>
            <w:vAlign w:val="center"/>
            <w:hideMark/>
          </w:tcPr>
          <w:p w14:paraId="704FD4C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64,8</w:t>
            </w:r>
          </w:p>
        </w:tc>
        <w:tc>
          <w:tcPr>
            <w:tcW w:w="1275" w:type="dxa"/>
            <w:tcBorders>
              <w:top w:val="nil"/>
              <w:left w:val="nil"/>
              <w:bottom w:val="single" w:sz="4" w:space="0" w:color="000000"/>
              <w:right w:val="single" w:sz="4" w:space="0" w:color="000000"/>
            </w:tcBorders>
            <w:shd w:val="clear" w:color="auto" w:fill="auto"/>
            <w:noWrap/>
            <w:vAlign w:val="center"/>
            <w:hideMark/>
          </w:tcPr>
          <w:p w14:paraId="41A367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80,1</w:t>
            </w:r>
          </w:p>
        </w:tc>
        <w:tc>
          <w:tcPr>
            <w:tcW w:w="1277" w:type="dxa"/>
            <w:tcBorders>
              <w:top w:val="nil"/>
              <w:left w:val="nil"/>
              <w:bottom w:val="single" w:sz="4" w:space="0" w:color="000000"/>
              <w:right w:val="single" w:sz="4" w:space="0" w:color="000000"/>
            </w:tcBorders>
            <w:shd w:val="clear" w:color="auto" w:fill="auto"/>
            <w:noWrap/>
            <w:vAlign w:val="center"/>
            <w:hideMark/>
          </w:tcPr>
          <w:p w14:paraId="34B47E5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B5FA0AE"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6EA3FB3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A65D16B"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A81F31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65814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постоянного населения</w:t>
            </w:r>
          </w:p>
        </w:tc>
        <w:tc>
          <w:tcPr>
            <w:tcW w:w="1151" w:type="dxa"/>
            <w:tcBorders>
              <w:top w:val="nil"/>
              <w:left w:val="nil"/>
              <w:bottom w:val="single" w:sz="4" w:space="0" w:color="auto"/>
              <w:right w:val="single" w:sz="4" w:space="0" w:color="auto"/>
            </w:tcBorders>
            <w:shd w:val="clear" w:color="000000" w:fill="FFFFFF"/>
            <w:hideMark/>
          </w:tcPr>
          <w:p w14:paraId="2C1AF77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человек</w:t>
            </w:r>
          </w:p>
        </w:tc>
        <w:tc>
          <w:tcPr>
            <w:tcW w:w="992" w:type="dxa"/>
            <w:tcBorders>
              <w:top w:val="nil"/>
              <w:left w:val="nil"/>
              <w:bottom w:val="single" w:sz="4" w:space="0" w:color="auto"/>
              <w:right w:val="single" w:sz="4" w:space="0" w:color="auto"/>
            </w:tcBorders>
            <w:shd w:val="clear" w:color="000000" w:fill="FFFFFF"/>
            <w:hideMark/>
          </w:tcPr>
          <w:p w14:paraId="2195626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38</w:t>
            </w:r>
          </w:p>
        </w:tc>
        <w:tc>
          <w:tcPr>
            <w:tcW w:w="1276" w:type="dxa"/>
            <w:tcBorders>
              <w:top w:val="nil"/>
              <w:left w:val="nil"/>
              <w:bottom w:val="single" w:sz="4" w:space="0" w:color="000000"/>
              <w:right w:val="single" w:sz="4" w:space="0" w:color="000000"/>
            </w:tcBorders>
            <w:shd w:val="clear" w:color="auto" w:fill="auto"/>
            <w:noWrap/>
            <w:vAlign w:val="center"/>
            <w:hideMark/>
          </w:tcPr>
          <w:p w14:paraId="7AEC199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94,400</w:t>
            </w:r>
          </w:p>
        </w:tc>
        <w:tc>
          <w:tcPr>
            <w:tcW w:w="1275" w:type="dxa"/>
            <w:tcBorders>
              <w:top w:val="nil"/>
              <w:left w:val="nil"/>
              <w:bottom w:val="single" w:sz="4" w:space="0" w:color="000000"/>
              <w:right w:val="single" w:sz="4" w:space="0" w:color="000000"/>
            </w:tcBorders>
            <w:shd w:val="clear" w:color="auto" w:fill="auto"/>
            <w:noWrap/>
            <w:vAlign w:val="center"/>
            <w:hideMark/>
          </w:tcPr>
          <w:p w14:paraId="4E9FE8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96,145</w:t>
            </w:r>
          </w:p>
        </w:tc>
        <w:tc>
          <w:tcPr>
            <w:tcW w:w="1275" w:type="dxa"/>
            <w:tcBorders>
              <w:top w:val="nil"/>
              <w:left w:val="nil"/>
              <w:bottom w:val="single" w:sz="4" w:space="0" w:color="000000"/>
              <w:right w:val="single" w:sz="4" w:space="0" w:color="000000"/>
            </w:tcBorders>
            <w:shd w:val="clear" w:color="auto" w:fill="auto"/>
            <w:noWrap/>
            <w:vAlign w:val="center"/>
            <w:hideMark/>
          </w:tcPr>
          <w:p w14:paraId="67AD9DF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97,814</w:t>
            </w:r>
          </w:p>
        </w:tc>
        <w:tc>
          <w:tcPr>
            <w:tcW w:w="1277" w:type="dxa"/>
            <w:tcBorders>
              <w:top w:val="nil"/>
              <w:left w:val="nil"/>
              <w:bottom w:val="single" w:sz="4" w:space="0" w:color="000000"/>
              <w:right w:val="single" w:sz="4" w:space="0" w:color="000000"/>
            </w:tcBorders>
            <w:shd w:val="clear" w:color="auto" w:fill="auto"/>
            <w:noWrap/>
            <w:vAlign w:val="center"/>
            <w:hideMark/>
          </w:tcPr>
          <w:p w14:paraId="0A930A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99,600</w:t>
            </w:r>
          </w:p>
        </w:tc>
        <w:tc>
          <w:tcPr>
            <w:tcW w:w="1276" w:type="dxa"/>
            <w:tcBorders>
              <w:top w:val="nil"/>
              <w:left w:val="nil"/>
              <w:bottom w:val="single" w:sz="4" w:space="0" w:color="000000"/>
              <w:right w:val="single" w:sz="4" w:space="0" w:color="000000"/>
            </w:tcBorders>
            <w:shd w:val="clear" w:color="auto" w:fill="auto"/>
            <w:noWrap/>
            <w:vAlign w:val="center"/>
            <w:hideMark/>
          </w:tcPr>
          <w:p w14:paraId="45F7E9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101,400</w:t>
            </w:r>
          </w:p>
        </w:tc>
        <w:tc>
          <w:tcPr>
            <w:tcW w:w="1275" w:type="dxa"/>
            <w:tcBorders>
              <w:top w:val="nil"/>
              <w:left w:val="nil"/>
              <w:bottom w:val="single" w:sz="4" w:space="0" w:color="000000"/>
              <w:right w:val="single" w:sz="4" w:space="0" w:color="000000"/>
            </w:tcBorders>
            <w:shd w:val="clear" w:color="auto" w:fill="auto"/>
            <w:noWrap/>
            <w:vAlign w:val="center"/>
            <w:hideMark/>
          </w:tcPr>
          <w:p w14:paraId="52C5D4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103,200</w:t>
            </w:r>
          </w:p>
        </w:tc>
      </w:tr>
      <w:tr w:rsidR="00996507" w:rsidRPr="00996507" w14:paraId="7CF91E8D" w14:textId="77777777" w:rsidTr="00996507">
        <w:trPr>
          <w:trHeight w:val="510"/>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7F1FBA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Энергосбережение и повышение </w:t>
            </w:r>
            <w:r w:rsidRPr="00996507">
              <w:rPr>
                <w:rFonts w:ascii="Times New Roman" w:eastAsia="Times New Roman" w:hAnsi="Times New Roman" w:cs="Times New Roman"/>
                <w:color w:val="000000"/>
                <w:sz w:val="20"/>
                <w:szCs w:val="20"/>
                <w:lang w:eastAsia="ru-RU"/>
              </w:rPr>
              <w:lastRenderedPageBreak/>
              <w:t>энергетической эффективности</w:t>
            </w:r>
          </w:p>
        </w:tc>
        <w:tc>
          <w:tcPr>
            <w:tcW w:w="4378" w:type="dxa"/>
            <w:tcBorders>
              <w:top w:val="nil"/>
              <w:left w:val="nil"/>
              <w:bottom w:val="single" w:sz="4" w:space="0" w:color="auto"/>
              <w:right w:val="single" w:sz="4" w:space="0" w:color="auto"/>
            </w:tcBorders>
            <w:shd w:val="clear" w:color="000000" w:fill="FFFFFF"/>
            <w:hideMark/>
          </w:tcPr>
          <w:p w14:paraId="7F488F2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lastRenderedPageBreak/>
              <w:t xml:space="preserve">Удельная величина потребления энергетических ресурсов в многоквартирных </w:t>
            </w:r>
            <w:r w:rsidRPr="00996507">
              <w:rPr>
                <w:rFonts w:ascii="Times New Roman" w:eastAsia="Times New Roman" w:hAnsi="Times New Roman" w:cs="Times New Roman"/>
                <w:color w:val="000000"/>
                <w:sz w:val="20"/>
                <w:szCs w:val="20"/>
                <w:lang w:eastAsia="ru-RU"/>
              </w:rPr>
              <w:lastRenderedPageBreak/>
              <w:t>домах:</w:t>
            </w:r>
          </w:p>
        </w:tc>
        <w:tc>
          <w:tcPr>
            <w:tcW w:w="1151" w:type="dxa"/>
            <w:tcBorders>
              <w:top w:val="nil"/>
              <w:left w:val="nil"/>
              <w:bottom w:val="single" w:sz="4" w:space="0" w:color="auto"/>
              <w:right w:val="single" w:sz="4" w:space="0" w:color="auto"/>
            </w:tcBorders>
            <w:shd w:val="clear" w:color="000000" w:fill="FFFFFF"/>
            <w:hideMark/>
          </w:tcPr>
          <w:p w14:paraId="1DA7C59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lastRenderedPageBreak/>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4853511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w:t>
            </w:r>
          </w:p>
        </w:tc>
        <w:tc>
          <w:tcPr>
            <w:tcW w:w="1276" w:type="dxa"/>
            <w:tcBorders>
              <w:top w:val="nil"/>
              <w:left w:val="nil"/>
              <w:bottom w:val="single" w:sz="4" w:space="0" w:color="000000"/>
              <w:right w:val="single" w:sz="4" w:space="0" w:color="000000"/>
            </w:tcBorders>
            <w:shd w:val="clear" w:color="000000" w:fill="C0C0C0"/>
            <w:noWrap/>
            <w:vAlign w:val="center"/>
            <w:hideMark/>
          </w:tcPr>
          <w:p w14:paraId="3F5BFF5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476031E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50666D3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0477AC3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7E16BBC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492DCC0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777D5387" w14:textId="77777777" w:rsidTr="00996507">
        <w:trPr>
          <w:trHeight w:val="795"/>
        </w:trPr>
        <w:tc>
          <w:tcPr>
            <w:tcW w:w="1701" w:type="dxa"/>
            <w:vMerge/>
            <w:tcBorders>
              <w:top w:val="nil"/>
              <w:left w:val="single" w:sz="4" w:space="0" w:color="auto"/>
              <w:bottom w:val="single" w:sz="4" w:space="0" w:color="auto"/>
              <w:right w:val="single" w:sz="4" w:space="0" w:color="auto"/>
            </w:tcBorders>
            <w:vAlign w:val="center"/>
            <w:hideMark/>
          </w:tcPr>
          <w:p w14:paraId="7C160AA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4A34CB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электрическая энергия</w:t>
            </w:r>
          </w:p>
        </w:tc>
        <w:tc>
          <w:tcPr>
            <w:tcW w:w="1151" w:type="dxa"/>
            <w:tcBorders>
              <w:top w:val="nil"/>
              <w:left w:val="nil"/>
              <w:bottom w:val="single" w:sz="4" w:space="0" w:color="auto"/>
              <w:right w:val="single" w:sz="4" w:space="0" w:color="auto"/>
            </w:tcBorders>
            <w:shd w:val="clear" w:color="000000" w:fill="FFFFFF"/>
            <w:hideMark/>
          </w:tcPr>
          <w:p w14:paraId="37C2A3D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килловат в час на 1 проживающего</w:t>
            </w:r>
          </w:p>
        </w:tc>
        <w:tc>
          <w:tcPr>
            <w:tcW w:w="992" w:type="dxa"/>
            <w:tcBorders>
              <w:top w:val="nil"/>
              <w:left w:val="nil"/>
              <w:bottom w:val="single" w:sz="4" w:space="0" w:color="auto"/>
              <w:right w:val="single" w:sz="4" w:space="0" w:color="auto"/>
            </w:tcBorders>
            <w:shd w:val="clear" w:color="000000" w:fill="FFFFFF"/>
            <w:hideMark/>
          </w:tcPr>
          <w:p w14:paraId="4113E16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39.1</w:t>
            </w:r>
          </w:p>
        </w:tc>
        <w:tc>
          <w:tcPr>
            <w:tcW w:w="1276" w:type="dxa"/>
            <w:tcBorders>
              <w:top w:val="nil"/>
              <w:left w:val="nil"/>
              <w:bottom w:val="single" w:sz="4" w:space="0" w:color="000000"/>
              <w:right w:val="single" w:sz="4" w:space="0" w:color="000000"/>
            </w:tcBorders>
            <w:shd w:val="clear" w:color="000000" w:fill="C0C0C0"/>
            <w:noWrap/>
            <w:vAlign w:val="center"/>
            <w:hideMark/>
          </w:tcPr>
          <w:p w14:paraId="32BAB0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908,00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F0AD7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870,71</w:t>
            </w:r>
          </w:p>
        </w:tc>
        <w:tc>
          <w:tcPr>
            <w:tcW w:w="1275" w:type="dxa"/>
            <w:tcBorders>
              <w:top w:val="nil"/>
              <w:left w:val="nil"/>
              <w:bottom w:val="single" w:sz="4" w:space="0" w:color="000000"/>
              <w:right w:val="single" w:sz="4" w:space="0" w:color="000000"/>
            </w:tcBorders>
            <w:shd w:val="clear" w:color="000000" w:fill="C0C0C0"/>
            <w:noWrap/>
            <w:vAlign w:val="center"/>
            <w:hideMark/>
          </w:tcPr>
          <w:p w14:paraId="1E0CC0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833,06</w:t>
            </w:r>
          </w:p>
        </w:tc>
        <w:tc>
          <w:tcPr>
            <w:tcW w:w="1277" w:type="dxa"/>
            <w:tcBorders>
              <w:top w:val="nil"/>
              <w:left w:val="nil"/>
              <w:bottom w:val="single" w:sz="4" w:space="0" w:color="000000"/>
              <w:right w:val="single" w:sz="4" w:space="0" w:color="000000"/>
            </w:tcBorders>
            <w:shd w:val="clear" w:color="000000" w:fill="C0C0C0"/>
            <w:noWrap/>
            <w:vAlign w:val="center"/>
            <w:hideMark/>
          </w:tcPr>
          <w:p w14:paraId="6A32925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812,26</w:t>
            </w:r>
          </w:p>
        </w:tc>
        <w:tc>
          <w:tcPr>
            <w:tcW w:w="1276" w:type="dxa"/>
            <w:tcBorders>
              <w:top w:val="nil"/>
              <w:left w:val="nil"/>
              <w:bottom w:val="single" w:sz="4" w:space="0" w:color="000000"/>
              <w:right w:val="single" w:sz="4" w:space="0" w:color="000000"/>
            </w:tcBorders>
            <w:shd w:val="clear" w:color="000000" w:fill="C0C0C0"/>
            <w:noWrap/>
            <w:vAlign w:val="center"/>
            <w:hideMark/>
          </w:tcPr>
          <w:p w14:paraId="3124045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791,46</w:t>
            </w:r>
          </w:p>
        </w:tc>
        <w:tc>
          <w:tcPr>
            <w:tcW w:w="1275" w:type="dxa"/>
            <w:tcBorders>
              <w:top w:val="nil"/>
              <w:left w:val="nil"/>
              <w:bottom w:val="single" w:sz="4" w:space="0" w:color="000000"/>
              <w:right w:val="single" w:sz="4" w:space="0" w:color="000000"/>
            </w:tcBorders>
            <w:shd w:val="clear" w:color="000000" w:fill="C0C0C0"/>
            <w:noWrap/>
            <w:vAlign w:val="center"/>
            <w:hideMark/>
          </w:tcPr>
          <w:p w14:paraId="4DC772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770,66</w:t>
            </w:r>
          </w:p>
        </w:tc>
      </w:tr>
      <w:tr w:rsidR="00996507" w:rsidRPr="00996507" w14:paraId="38BC4028"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DFA48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5A9C9E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Суммарное потребление электроэнергии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7DB34D7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киловатт</w:t>
            </w:r>
          </w:p>
        </w:tc>
        <w:tc>
          <w:tcPr>
            <w:tcW w:w="992" w:type="dxa"/>
            <w:tcBorders>
              <w:top w:val="nil"/>
              <w:left w:val="nil"/>
              <w:bottom w:val="single" w:sz="4" w:space="0" w:color="auto"/>
              <w:right w:val="single" w:sz="4" w:space="0" w:color="auto"/>
            </w:tcBorders>
            <w:shd w:val="clear" w:color="000000" w:fill="FFFFFF"/>
            <w:hideMark/>
          </w:tcPr>
          <w:p w14:paraId="62B021C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39.1.1</w:t>
            </w:r>
          </w:p>
        </w:tc>
        <w:tc>
          <w:tcPr>
            <w:tcW w:w="1276" w:type="dxa"/>
            <w:tcBorders>
              <w:top w:val="nil"/>
              <w:left w:val="nil"/>
              <w:bottom w:val="single" w:sz="4" w:space="0" w:color="000000"/>
              <w:right w:val="single" w:sz="4" w:space="0" w:color="000000"/>
            </w:tcBorders>
            <w:shd w:val="clear" w:color="auto" w:fill="auto"/>
            <w:noWrap/>
            <w:vAlign w:val="center"/>
            <w:hideMark/>
          </w:tcPr>
          <w:p w14:paraId="1A0BBA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81314 124,0</w:t>
            </w:r>
          </w:p>
        </w:tc>
        <w:tc>
          <w:tcPr>
            <w:tcW w:w="1275" w:type="dxa"/>
            <w:tcBorders>
              <w:top w:val="nil"/>
              <w:left w:val="nil"/>
              <w:bottom w:val="single" w:sz="4" w:space="0" w:color="000000"/>
              <w:right w:val="single" w:sz="4" w:space="0" w:color="000000"/>
            </w:tcBorders>
            <w:shd w:val="clear" w:color="auto" w:fill="auto"/>
            <w:noWrap/>
            <w:vAlign w:val="center"/>
            <w:hideMark/>
          </w:tcPr>
          <w:p w14:paraId="4EF56B5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81639 380,4</w:t>
            </w:r>
          </w:p>
        </w:tc>
        <w:tc>
          <w:tcPr>
            <w:tcW w:w="1275" w:type="dxa"/>
            <w:tcBorders>
              <w:top w:val="nil"/>
              <w:left w:val="nil"/>
              <w:bottom w:val="single" w:sz="4" w:space="0" w:color="000000"/>
              <w:right w:val="single" w:sz="4" w:space="0" w:color="000000"/>
            </w:tcBorders>
            <w:shd w:val="clear" w:color="auto" w:fill="auto"/>
            <w:noWrap/>
            <w:vAlign w:val="center"/>
            <w:hideMark/>
          </w:tcPr>
          <w:p w14:paraId="3822C7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79425 606,5</w:t>
            </w:r>
          </w:p>
        </w:tc>
        <w:tc>
          <w:tcPr>
            <w:tcW w:w="1277" w:type="dxa"/>
            <w:tcBorders>
              <w:top w:val="nil"/>
              <w:left w:val="nil"/>
              <w:bottom w:val="single" w:sz="4" w:space="0" w:color="000000"/>
              <w:right w:val="single" w:sz="4" w:space="0" w:color="000000"/>
            </w:tcBorders>
            <w:shd w:val="clear" w:color="auto" w:fill="auto"/>
            <w:noWrap/>
            <w:vAlign w:val="center"/>
            <w:hideMark/>
          </w:tcPr>
          <w:p w14:paraId="293E52D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78725 863,7</w:t>
            </w:r>
          </w:p>
        </w:tc>
        <w:tc>
          <w:tcPr>
            <w:tcW w:w="1276" w:type="dxa"/>
            <w:tcBorders>
              <w:top w:val="nil"/>
              <w:left w:val="nil"/>
              <w:bottom w:val="single" w:sz="4" w:space="0" w:color="000000"/>
              <w:right w:val="single" w:sz="4" w:space="0" w:color="000000"/>
            </w:tcBorders>
            <w:shd w:val="clear" w:color="auto" w:fill="auto"/>
            <w:noWrap/>
            <w:vAlign w:val="center"/>
            <w:hideMark/>
          </w:tcPr>
          <w:p w14:paraId="56FD0D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77960 392,9</w:t>
            </w:r>
          </w:p>
        </w:tc>
        <w:tc>
          <w:tcPr>
            <w:tcW w:w="1275" w:type="dxa"/>
            <w:tcBorders>
              <w:top w:val="nil"/>
              <w:left w:val="nil"/>
              <w:bottom w:val="single" w:sz="4" w:space="0" w:color="000000"/>
              <w:right w:val="single" w:sz="4" w:space="0" w:color="000000"/>
            </w:tcBorders>
            <w:shd w:val="clear" w:color="auto" w:fill="auto"/>
            <w:noWrap/>
            <w:vAlign w:val="center"/>
            <w:hideMark/>
          </w:tcPr>
          <w:p w14:paraId="44EC4F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77129 194,1</w:t>
            </w:r>
          </w:p>
        </w:tc>
      </w:tr>
      <w:tr w:rsidR="00996507" w:rsidRPr="00996507" w14:paraId="30054E05"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8F61C5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4AA1F5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электроэнергией)</w:t>
            </w:r>
          </w:p>
        </w:tc>
        <w:tc>
          <w:tcPr>
            <w:tcW w:w="1151" w:type="dxa"/>
            <w:tcBorders>
              <w:top w:val="nil"/>
              <w:left w:val="nil"/>
              <w:bottom w:val="single" w:sz="4" w:space="0" w:color="auto"/>
              <w:right w:val="single" w:sz="4" w:space="0" w:color="auto"/>
            </w:tcBorders>
            <w:shd w:val="clear" w:color="000000" w:fill="FFFFFF"/>
            <w:hideMark/>
          </w:tcPr>
          <w:p w14:paraId="0D80BEA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F1F883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39.1.2</w:t>
            </w:r>
          </w:p>
        </w:tc>
        <w:tc>
          <w:tcPr>
            <w:tcW w:w="1276" w:type="dxa"/>
            <w:tcBorders>
              <w:top w:val="nil"/>
              <w:left w:val="nil"/>
              <w:bottom w:val="single" w:sz="4" w:space="0" w:color="000000"/>
              <w:right w:val="single" w:sz="4" w:space="0" w:color="000000"/>
            </w:tcBorders>
            <w:shd w:val="clear" w:color="auto" w:fill="auto"/>
            <w:noWrap/>
            <w:vAlign w:val="center"/>
            <w:hideMark/>
          </w:tcPr>
          <w:p w14:paraId="17B903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89 553,0</w:t>
            </w:r>
          </w:p>
        </w:tc>
        <w:tc>
          <w:tcPr>
            <w:tcW w:w="1275" w:type="dxa"/>
            <w:tcBorders>
              <w:top w:val="nil"/>
              <w:left w:val="nil"/>
              <w:bottom w:val="single" w:sz="4" w:space="0" w:color="000000"/>
              <w:right w:val="single" w:sz="4" w:space="0" w:color="000000"/>
            </w:tcBorders>
            <w:shd w:val="clear" w:color="auto" w:fill="auto"/>
            <w:noWrap/>
            <w:vAlign w:val="center"/>
            <w:hideMark/>
          </w:tcPr>
          <w:p w14:paraId="2FD422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93 762,0</w:t>
            </w:r>
          </w:p>
        </w:tc>
        <w:tc>
          <w:tcPr>
            <w:tcW w:w="1275" w:type="dxa"/>
            <w:tcBorders>
              <w:top w:val="nil"/>
              <w:left w:val="nil"/>
              <w:bottom w:val="single" w:sz="4" w:space="0" w:color="000000"/>
              <w:right w:val="single" w:sz="4" w:space="0" w:color="000000"/>
            </w:tcBorders>
            <w:shd w:val="clear" w:color="auto" w:fill="auto"/>
            <w:noWrap/>
            <w:vAlign w:val="center"/>
            <w:hideMark/>
          </w:tcPr>
          <w:p w14:paraId="784F61B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95 342,0</w:t>
            </w:r>
          </w:p>
        </w:tc>
        <w:tc>
          <w:tcPr>
            <w:tcW w:w="1277" w:type="dxa"/>
            <w:tcBorders>
              <w:top w:val="nil"/>
              <w:left w:val="nil"/>
              <w:bottom w:val="single" w:sz="4" w:space="0" w:color="000000"/>
              <w:right w:val="single" w:sz="4" w:space="0" w:color="000000"/>
            </w:tcBorders>
            <w:shd w:val="clear" w:color="auto" w:fill="auto"/>
            <w:noWrap/>
            <w:vAlign w:val="center"/>
            <w:hideMark/>
          </w:tcPr>
          <w:p w14:paraId="18644B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96 922,0</w:t>
            </w:r>
          </w:p>
        </w:tc>
        <w:tc>
          <w:tcPr>
            <w:tcW w:w="1276" w:type="dxa"/>
            <w:tcBorders>
              <w:top w:val="nil"/>
              <w:left w:val="nil"/>
              <w:bottom w:val="single" w:sz="4" w:space="0" w:color="000000"/>
              <w:right w:val="single" w:sz="4" w:space="0" w:color="000000"/>
            </w:tcBorders>
            <w:shd w:val="clear" w:color="auto" w:fill="auto"/>
            <w:noWrap/>
            <w:vAlign w:val="center"/>
            <w:hideMark/>
          </w:tcPr>
          <w:p w14:paraId="5AA2D3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98 502,0</w:t>
            </w:r>
          </w:p>
        </w:tc>
        <w:tc>
          <w:tcPr>
            <w:tcW w:w="1275" w:type="dxa"/>
            <w:tcBorders>
              <w:top w:val="nil"/>
              <w:left w:val="nil"/>
              <w:bottom w:val="single" w:sz="4" w:space="0" w:color="000000"/>
              <w:right w:val="single" w:sz="4" w:space="0" w:color="000000"/>
            </w:tcBorders>
            <w:shd w:val="clear" w:color="auto" w:fill="auto"/>
            <w:noWrap/>
            <w:vAlign w:val="center"/>
            <w:hideMark/>
          </w:tcPr>
          <w:p w14:paraId="3399D8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100 082,0</w:t>
            </w:r>
          </w:p>
        </w:tc>
      </w:tr>
      <w:tr w:rsidR="00996507" w:rsidRPr="00996507" w14:paraId="723B104B" w14:textId="77777777" w:rsidTr="00996507">
        <w:trPr>
          <w:trHeight w:val="780"/>
        </w:trPr>
        <w:tc>
          <w:tcPr>
            <w:tcW w:w="1701" w:type="dxa"/>
            <w:vMerge/>
            <w:tcBorders>
              <w:top w:val="nil"/>
              <w:left w:val="single" w:sz="4" w:space="0" w:color="auto"/>
              <w:bottom w:val="single" w:sz="4" w:space="0" w:color="auto"/>
              <w:right w:val="single" w:sz="4" w:space="0" w:color="auto"/>
            </w:tcBorders>
            <w:vAlign w:val="center"/>
            <w:hideMark/>
          </w:tcPr>
          <w:p w14:paraId="568EDC1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19E937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тепловая энергия</w:t>
            </w:r>
          </w:p>
        </w:tc>
        <w:tc>
          <w:tcPr>
            <w:tcW w:w="1151" w:type="dxa"/>
            <w:tcBorders>
              <w:top w:val="nil"/>
              <w:left w:val="nil"/>
              <w:bottom w:val="single" w:sz="4" w:space="0" w:color="auto"/>
              <w:right w:val="single" w:sz="4" w:space="0" w:color="auto"/>
            </w:tcBorders>
            <w:shd w:val="clear" w:color="000000" w:fill="FFFFFF"/>
            <w:hideMark/>
          </w:tcPr>
          <w:p w14:paraId="7B8BCA5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Гкал. на 1кв. метр общей площади</w:t>
            </w:r>
          </w:p>
        </w:tc>
        <w:tc>
          <w:tcPr>
            <w:tcW w:w="992" w:type="dxa"/>
            <w:tcBorders>
              <w:top w:val="nil"/>
              <w:left w:val="nil"/>
              <w:bottom w:val="single" w:sz="4" w:space="0" w:color="auto"/>
              <w:right w:val="single" w:sz="4" w:space="0" w:color="auto"/>
            </w:tcBorders>
            <w:shd w:val="clear" w:color="000000" w:fill="FFFFFF"/>
            <w:hideMark/>
          </w:tcPr>
          <w:p w14:paraId="3CDD64F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39.2</w:t>
            </w:r>
          </w:p>
        </w:tc>
        <w:tc>
          <w:tcPr>
            <w:tcW w:w="1276" w:type="dxa"/>
            <w:tcBorders>
              <w:top w:val="nil"/>
              <w:left w:val="nil"/>
              <w:bottom w:val="single" w:sz="4" w:space="0" w:color="000000"/>
              <w:right w:val="single" w:sz="4" w:space="0" w:color="000000"/>
            </w:tcBorders>
            <w:shd w:val="clear" w:color="000000" w:fill="C0C0C0"/>
            <w:noWrap/>
            <w:vAlign w:val="center"/>
            <w:hideMark/>
          </w:tcPr>
          <w:p w14:paraId="1476FBA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5" w:type="dxa"/>
            <w:tcBorders>
              <w:top w:val="nil"/>
              <w:left w:val="nil"/>
              <w:bottom w:val="single" w:sz="4" w:space="0" w:color="000000"/>
              <w:right w:val="single" w:sz="4" w:space="0" w:color="000000"/>
            </w:tcBorders>
            <w:shd w:val="clear" w:color="000000" w:fill="C0C0C0"/>
            <w:noWrap/>
            <w:vAlign w:val="center"/>
            <w:hideMark/>
          </w:tcPr>
          <w:p w14:paraId="339FDC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5" w:type="dxa"/>
            <w:tcBorders>
              <w:top w:val="nil"/>
              <w:left w:val="nil"/>
              <w:bottom w:val="single" w:sz="4" w:space="0" w:color="000000"/>
              <w:right w:val="single" w:sz="4" w:space="0" w:color="000000"/>
            </w:tcBorders>
            <w:shd w:val="clear" w:color="000000" w:fill="C0C0C0"/>
            <w:noWrap/>
            <w:vAlign w:val="center"/>
            <w:hideMark/>
          </w:tcPr>
          <w:p w14:paraId="16E771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7" w:type="dxa"/>
            <w:tcBorders>
              <w:top w:val="nil"/>
              <w:left w:val="nil"/>
              <w:bottom w:val="single" w:sz="4" w:space="0" w:color="000000"/>
              <w:right w:val="single" w:sz="4" w:space="0" w:color="000000"/>
            </w:tcBorders>
            <w:shd w:val="clear" w:color="000000" w:fill="C0C0C0"/>
            <w:noWrap/>
            <w:vAlign w:val="center"/>
            <w:hideMark/>
          </w:tcPr>
          <w:p w14:paraId="47EFB1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0,16</w:t>
            </w:r>
          </w:p>
        </w:tc>
        <w:tc>
          <w:tcPr>
            <w:tcW w:w="1276" w:type="dxa"/>
            <w:tcBorders>
              <w:top w:val="nil"/>
              <w:left w:val="nil"/>
              <w:bottom w:val="single" w:sz="4" w:space="0" w:color="000000"/>
              <w:right w:val="single" w:sz="4" w:space="0" w:color="000000"/>
            </w:tcBorders>
            <w:shd w:val="clear" w:color="000000" w:fill="C0C0C0"/>
            <w:noWrap/>
            <w:vAlign w:val="center"/>
            <w:hideMark/>
          </w:tcPr>
          <w:p w14:paraId="5177CB3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0,15</w:t>
            </w:r>
          </w:p>
        </w:tc>
        <w:tc>
          <w:tcPr>
            <w:tcW w:w="1275" w:type="dxa"/>
            <w:tcBorders>
              <w:top w:val="nil"/>
              <w:left w:val="nil"/>
              <w:bottom w:val="single" w:sz="4" w:space="0" w:color="000000"/>
              <w:right w:val="single" w:sz="4" w:space="0" w:color="000000"/>
            </w:tcBorders>
            <w:shd w:val="clear" w:color="000000" w:fill="C0C0C0"/>
            <w:noWrap/>
            <w:vAlign w:val="center"/>
            <w:hideMark/>
          </w:tcPr>
          <w:p w14:paraId="7BBBE4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0,14</w:t>
            </w:r>
          </w:p>
        </w:tc>
      </w:tr>
      <w:tr w:rsidR="00996507" w:rsidRPr="00996507" w14:paraId="462CDC74"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EECF3D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352B2C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тепловой энергии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56A06C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Гигакалория</w:t>
            </w:r>
          </w:p>
        </w:tc>
        <w:tc>
          <w:tcPr>
            <w:tcW w:w="992" w:type="dxa"/>
            <w:tcBorders>
              <w:top w:val="nil"/>
              <w:left w:val="nil"/>
              <w:bottom w:val="single" w:sz="4" w:space="0" w:color="auto"/>
              <w:right w:val="single" w:sz="4" w:space="0" w:color="auto"/>
            </w:tcBorders>
            <w:shd w:val="clear" w:color="000000" w:fill="FFFFFF"/>
            <w:hideMark/>
          </w:tcPr>
          <w:p w14:paraId="636C9B6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39.2.1</w:t>
            </w:r>
          </w:p>
        </w:tc>
        <w:tc>
          <w:tcPr>
            <w:tcW w:w="1276" w:type="dxa"/>
            <w:tcBorders>
              <w:top w:val="nil"/>
              <w:left w:val="nil"/>
              <w:bottom w:val="single" w:sz="4" w:space="0" w:color="000000"/>
              <w:right w:val="single" w:sz="4" w:space="0" w:color="000000"/>
            </w:tcBorders>
            <w:shd w:val="clear" w:color="auto" w:fill="auto"/>
            <w:noWrap/>
            <w:vAlign w:val="center"/>
            <w:hideMark/>
          </w:tcPr>
          <w:p w14:paraId="5892269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252 110,1</w:t>
            </w:r>
          </w:p>
        </w:tc>
        <w:tc>
          <w:tcPr>
            <w:tcW w:w="1275" w:type="dxa"/>
            <w:tcBorders>
              <w:top w:val="nil"/>
              <w:left w:val="nil"/>
              <w:bottom w:val="single" w:sz="4" w:space="0" w:color="000000"/>
              <w:right w:val="single" w:sz="4" w:space="0" w:color="000000"/>
            </w:tcBorders>
            <w:shd w:val="clear" w:color="auto" w:fill="auto"/>
            <w:noWrap/>
            <w:vAlign w:val="center"/>
            <w:hideMark/>
          </w:tcPr>
          <w:p w14:paraId="79DF51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251 605,9</w:t>
            </w:r>
          </w:p>
        </w:tc>
        <w:tc>
          <w:tcPr>
            <w:tcW w:w="1275" w:type="dxa"/>
            <w:tcBorders>
              <w:top w:val="nil"/>
              <w:left w:val="nil"/>
              <w:bottom w:val="single" w:sz="4" w:space="0" w:color="000000"/>
              <w:right w:val="single" w:sz="4" w:space="0" w:color="000000"/>
            </w:tcBorders>
            <w:shd w:val="clear" w:color="auto" w:fill="auto"/>
            <w:noWrap/>
            <w:vAlign w:val="center"/>
            <w:hideMark/>
          </w:tcPr>
          <w:p w14:paraId="075356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292 710,0</w:t>
            </w:r>
          </w:p>
        </w:tc>
        <w:tc>
          <w:tcPr>
            <w:tcW w:w="1277" w:type="dxa"/>
            <w:tcBorders>
              <w:top w:val="nil"/>
              <w:left w:val="nil"/>
              <w:bottom w:val="single" w:sz="4" w:space="0" w:color="000000"/>
              <w:right w:val="single" w:sz="4" w:space="0" w:color="000000"/>
            </w:tcBorders>
            <w:shd w:val="clear" w:color="auto" w:fill="auto"/>
            <w:noWrap/>
            <w:vAlign w:val="center"/>
            <w:hideMark/>
          </w:tcPr>
          <w:p w14:paraId="232C81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300 800,0</w:t>
            </w:r>
          </w:p>
        </w:tc>
        <w:tc>
          <w:tcPr>
            <w:tcW w:w="1276" w:type="dxa"/>
            <w:tcBorders>
              <w:top w:val="nil"/>
              <w:left w:val="nil"/>
              <w:bottom w:val="single" w:sz="4" w:space="0" w:color="000000"/>
              <w:right w:val="single" w:sz="4" w:space="0" w:color="000000"/>
            </w:tcBorders>
            <w:shd w:val="clear" w:color="auto" w:fill="auto"/>
            <w:noWrap/>
            <w:vAlign w:val="center"/>
            <w:hideMark/>
          </w:tcPr>
          <w:p w14:paraId="7D68EF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297 900,0</w:t>
            </w:r>
          </w:p>
        </w:tc>
        <w:tc>
          <w:tcPr>
            <w:tcW w:w="1275" w:type="dxa"/>
            <w:tcBorders>
              <w:top w:val="nil"/>
              <w:left w:val="nil"/>
              <w:bottom w:val="single" w:sz="4" w:space="0" w:color="000000"/>
              <w:right w:val="single" w:sz="4" w:space="0" w:color="000000"/>
            </w:tcBorders>
            <w:shd w:val="clear" w:color="auto" w:fill="auto"/>
            <w:noWrap/>
            <w:vAlign w:val="center"/>
            <w:hideMark/>
          </w:tcPr>
          <w:p w14:paraId="3DC4E90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292 880,0</w:t>
            </w:r>
          </w:p>
        </w:tc>
      </w:tr>
      <w:tr w:rsidR="00996507" w:rsidRPr="00996507" w14:paraId="0CD3A9EC" w14:textId="77777777" w:rsidTr="00996507">
        <w:trPr>
          <w:trHeight w:val="375"/>
        </w:trPr>
        <w:tc>
          <w:tcPr>
            <w:tcW w:w="1701" w:type="dxa"/>
            <w:vMerge/>
            <w:tcBorders>
              <w:top w:val="nil"/>
              <w:left w:val="single" w:sz="4" w:space="0" w:color="auto"/>
              <w:bottom w:val="single" w:sz="4" w:space="0" w:color="auto"/>
              <w:right w:val="single" w:sz="4" w:space="0" w:color="auto"/>
            </w:tcBorders>
            <w:vAlign w:val="center"/>
            <w:hideMark/>
          </w:tcPr>
          <w:p w14:paraId="4212345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F6EE48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многоквартирных домов</w:t>
            </w:r>
          </w:p>
        </w:tc>
        <w:tc>
          <w:tcPr>
            <w:tcW w:w="1151" w:type="dxa"/>
            <w:tcBorders>
              <w:top w:val="nil"/>
              <w:left w:val="nil"/>
              <w:bottom w:val="single" w:sz="4" w:space="0" w:color="auto"/>
              <w:right w:val="single" w:sz="4" w:space="0" w:color="auto"/>
            </w:tcBorders>
            <w:shd w:val="clear" w:color="000000" w:fill="FFFFFF"/>
            <w:hideMark/>
          </w:tcPr>
          <w:p w14:paraId="6C417FE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27D4CCF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39.2.2</w:t>
            </w:r>
          </w:p>
        </w:tc>
        <w:tc>
          <w:tcPr>
            <w:tcW w:w="1276" w:type="dxa"/>
            <w:tcBorders>
              <w:top w:val="nil"/>
              <w:left w:val="nil"/>
              <w:bottom w:val="single" w:sz="4" w:space="0" w:color="000000"/>
              <w:right w:val="single" w:sz="4" w:space="0" w:color="000000"/>
            </w:tcBorders>
            <w:shd w:val="clear" w:color="auto" w:fill="auto"/>
            <w:noWrap/>
            <w:vAlign w:val="center"/>
            <w:hideMark/>
          </w:tcPr>
          <w:p w14:paraId="29C7BF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1483 000,5</w:t>
            </w:r>
          </w:p>
        </w:tc>
        <w:tc>
          <w:tcPr>
            <w:tcW w:w="1275" w:type="dxa"/>
            <w:tcBorders>
              <w:top w:val="nil"/>
              <w:left w:val="nil"/>
              <w:bottom w:val="single" w:sz="4" w:space="0" w:color="000000"/>
              <w:right w:val="single" w:sz="4" w:space="0" w:color="000000"/>
            </w:tcBorders>
            <w:shd w:val="clear" w:color="auto" w:fill="auto"/>
            <w:noWrap/>
            <w:vAlign w:val="center"/>
            <w:hideMark/>
          </w:tcPr>
          <w:p w14:paraId="6F0D4B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1494 864,5</w:t>
            </w:r>
          </w:p>
        </w:tc>
        <w:tc>
          <w:tcPr>
            <w:tcW w:w="1275" w:type="dxa"/>
            <w:tcBorders>
              <w:top w:val="nil"/>
              <w:left w:val="nil"/>
              <w:bottom w:val="single" w:sz="4" w:space="0" w:color="000000"/>
              <w:right w:val="single" w:sz="4" w:space="0" w:color="000000"/>
            </w:tcBorders>
            <w:shd w:val="clear" w:color="auto" w:fill="auto"/>
            <w:noWrap/>
            <w:vAlign w:val="center"/>
            <w:hideMark/>
          </w:tcPr>
          <w:p w14:paraId="6C2223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1774 000,0</w:t>
            </w:r>
          </w:p>
        </w:tc>
        <w:tc>
          <w:tcPr>
            <w:tcW w:w="1277" w:type="dxa"/>
            <w:tcBorders>
              <w:top w:val="nil"/>
              <w:left w:val="nil"/>
              <w:bottom w:val="single" w:sz="4" w:space="0" w:color="000000"/>
              <w:right w:val="single" w:sz="4" w:space="0" w:color="000000"/>
            </w:tcBorders>
            <w:shd w:val="clear" w:color="auto" w:fill="auto"/>
            <w:noWrap/>
            <w:vAlign w:val="center"/>
            <w:hideMark/>
          </w:tcPr>
          <w:p w14:paraId="74AAAE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1880 000,0</w:t>
            </w:r>
          </w:p>
        </w:tc>
        <w:tc>
          <w:tcPr>
            <w:tcW w:w="1276" w:type="dxa"/>
            <w:tcBorders>
              <w:top w:val="nil"/>
              <w:left w:val="nil"/>
              <w:bottom w:val="single" w:sz="4" w:space="0" w:color="000000"/>
              <w:right w:val="single" w:sz="4" w:space="0" w:color="000000"/>
            </w:tcBorders>
            <w:shd w:val="clear" w:color="auto" w:fill="auto"/>
            <w:noWrap/>
            <w:vAlign w:val="center"/>
            <w:hideMark/>
          </w:tcPr>
          <w:p w14:paraId="52F885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1986 000,0</w:t>
            </w:r>
          </w:p>
        </w:tc>
        <w:tc>
          <w:tcPr>
            <w:tcW w:w="1275" w:type="dxa"/>
            <w:tcBorders>
              <w:top w:val="nil"/>
              <w:left w:val="nil"/>
              <w:bottom w:val="single" w:sz="4" w:space="0" w:color="000000"/>
              <w:right w:val="single" w:sz="4" w:space="0" w:color="000000"/>
            </w:tcBorders>
            <w:shd w:val="clear" w:color="auto" w:fill="auto"/>
            <w:noWrap/>
            <w:vAlign w:val="center"/>
            <w:hideMark/>
          </w:tcPr>
          <w:p w14:paraId="231C396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2092 000,0</w:t>
            </w:r>
          </w:p>
        </w:tc>
      </w:tr>
      <w:tr w:rsidR="00996507" w:rsidRPr="00996507" w14:paraId="7BB6B2B2" w14:textId="77777777" w:rsidTr="00996507">
        <w:trPr>
          <w:trHeight w:val="780"/>
        </w:trPr>
        <w:tc>
          <w:tcPr>
            <w:tcW w:w="1701" w:type="dxa"/>
            <w:vMerge/>
            <w:tcBorders>
              <w:top w:val="nil"/>
              <w:left w:val="single" w:sz="4" w:space="0" w:color="auto"/>
              <w:bottom w:val="single" w:sz="4" w:space="0" w:color="auto"/>
              <w:right w:val="single" w:sz="4" w:space="0" w:color="auto"/>
            </w:tcBorders>
            <w:vAlign w:val="center"/>
            <w:hideMark/>
          </w:tcPr>
          <w:p w14:paraId="2F2A735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A988C3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горячая вода</w:t>
            </w:r>
          </w:p>
        </w:tc>
        <w:tc>
          <w:tcPr>
            <w:tcW w:w="1151" w:type="dxa"/>
            <w:tcBorders>
              <w:top w:val="nil"/>
              <w:left w:val="nil"/>
              <w:bottom w:val="single" w:sz="4" w:space="0" w:color="auto"/>
              <w:right w:val="single" w:sz="4" w:space="0" w:color="auto"/>
            </w:tcBorders>
            <w:shd w:val="clear" w:color="000000" w:fill="FFFFFF"/>
            <w:hideMark/>
          </w:tcPr>
          <w:p w14:paraId="194783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6789D2F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39.3</w:t>
            </w:r>
          </w:p>
        </w:tc>
        <w:tc>
          <w:tcPr>
            <w:tcW w:w="1276" w:type="dxa"/>
            <w:tcBorders>
              <w:top w:val="nil"/>
              <w:left w:val="nil"/>
              <w:bottom w:val="single" w:sz="4" w:space="0" w:color="000000"/>
              <w:right w:val="single" w:sz="4" w:space="0" w:color="000000"/>
            </w:tcBorders>
            <w:shd w:val="clear" w:color="000000" w:fill="C0C0C0"/>
            <w:noWrap/>
            <w:vAlign w:val="center"/>
            <w:hideMark/>
          </w:tcPr>
          <w:p w14:paraId="2D6E92C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14,06</w:t>
            </w:r>
          </w:p>
        </w:tc>
        <w:tc>
          <w:tcPr>
            <w:tcW w:w="1275" w:type="dxa"/>
            <w:tcBorders>
              <w:top w:val="nil"/>
              <w:left w:val="nil"/>
              <w:bottom w:val="single" w:sz="4" w:space="0" w:color="000000"/>
              <w:right w:val="single" w:sz="4" w:space="0" w:color="000000"/>
            </w:tcBorders>
            <w:shd w:val="clear" w:color="000000" w:fill="C0C0C0"/>
            <w:noWrap/>
            <w:vAlign w:val="center"/>
            <w:hideMark/>
          </w:tcPr>
          <w:p w14:paraId="06011E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13,55</w:t>
            </w:r>
          </w:p>
        </w:tc>
        <w:tc>
          <w:tcPr>
            <w:tcW w:w="1275" w:type="dxa"/>
            <w:tcBorders>
              <w:top w:val="nil"/>
              <w:left w:val="nil"/>
              <w:bottom w:val="single" w:sz="4" w:space="0" w:color="000000"/>
              <w:right w:val="single" w:sz="4" w:space="0" w:color="000000"/>
            </w:tcBorders>
            <w:shd w:val="clear" w:color="000000" w:fill="C0C0C0"/>
            <w:noWrap/>
            <w:vAlign w:val="center"/>
            <w:hideMark/>
          </w:tcPr>
          <w:p w14:paraId="73FDED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13,28</w:t>
            </w:r>
          </w:p>
        </w:tc>
        <w:tc>
          <w:tcPr>
            <w:tcW w:w="1277" w:type="dxa"/>
            <w:tcBorders>
              <w:top w:val="nil"/>
              <w:left w:val="nil"/>
              <w:bottom w:val="single" w:sz="4" w:space="0" w:color="000000"/>
              <w:right w:val="single" w:sz="4" w:space="0" w:color="000000"/>
            </w:tcBorders>
            <w:shd w:val="clear" w:color="000000" w:fill="C0C0C0"/>
            <w:noWrap/>
            <w:vAlign w:val="center"/>
            <w:hideMark/>
          </w:tcPr>
          <w:p w14:paraId="6F92DE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12,42</w:t>
            </w:r>
          </w:p>
        </w:tc>
        <w:tc>
          <w:tcPr>
            <w:tcW w:w="1276" w:type="dxa"/>
            <w:tcBorders>
              <w:top w:val="nil"/>
              <w:left w:val="nil"/>
              <w:bottom w:val="single" w:sz="4" w:space="0" w:color="000000"/>
              <w:right w:val="single" w:sz="4" w:space="0" w:color="000000"/>
            </w:tcBorders>
            <w:shd w:val="clear" w:color="000000" w:fill="C0C0C0"/>
            <w:noWrap/>
            <w:vAlign w:val="center"/>
            <w:hideMark/>
          </w:tcPr>
          <w:p w14:paraId="707890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12,40</w:t>
            </w:r>
          </w:p>
        </w:tc>
        <w:tc>
          <w:tcPr>
            <w:tcW w:w="1275" w:type="dxa"/>
            <w:tcBorders>
              <w:top w:val="nil"/>
              <w:left w:val="nil"/>
              <w:bottom w:val="single" w:sz="4" w:space="0" w:color="000000"/>
              <w:right w:val="single" w:sz="4" w:space="0" w:color="000000"/>
            </w:tcBorders>
            <w:shd w:val="clear" w:color="000000" w:fill="C0C0C0"/>
            <w:noWrap/>
            <w:vAlign w:val="center"/>
            <w:hideMark/>
          </w:tcPr>
          <w:p w14:paraId="5C3BC3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11,82</w:t>
            </w:r>
          </w:p>
        </w:tc>
      </w:tr>
      <w:tr w:rsidR="00996507" w:rsidRPr="00996507" w14:paraId="54063B24"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AF242D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FBD6D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горячей воды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1A6E366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1128B7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39.3.1</w:t>
            </w:r>
          </w:p>
        </w:tc>
        <w:tc>
          <w:tcPr>
            <w:tcW w:w="1276" w:type="dxa"/>
            <w:tcBorders>
              <w:top w:val="nil"/>
              <w:left w:val="nil"/>
              <w:bottom w:val="single" w:sz="4" w:space="0" w:color="000000"/>
              <w:right w:val="single" w:sz="4" w:space="0" w:color="000000"/>
            </w:tcBorders>
            <w:shd w:val="clear" w:color="auto" w:fill="auto"/>
            <w:noWrap/>
            <w:vAlign w:val="center"/>
            <w:hideMark/>
          </w:tcPr>
          <w:p w14:paraId="621FEC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444 492,8</w:t>
            </w:r>
          </w:p>
        </w:tc>
        <w:tc>
          <w:tcPr>
            <w:tcW w:w="1275" w:type="dxa"/>
            <w:tcBorders>
              <w:top w:val="nil"/>
              <w:left w:val="nil"/>
              <w:bottom w:val="single" w:sz="4" w:space="0" w:color="000000"/>
              <w:right w:val="single" w:sz="4" w:space="0" w:color="000000"/>
            </w:tcBorders>
            <w:shd w:val="clear" w:color="auto" w:fill="auto"/>
            <w:noWrap/>
            <w:vAlign w:val="center"/>
            <w:hideMark/>
          </w:tcPr>
          <w:p w14:paraId="7DBDA0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474 497,0</w:t>
            </w:r>
          </w:p>
        </w:tc>
        <w:tc>
          <w:tcPr>
            <w:tcW w:w="1275" w:type="dxa"/>
            <w:tcBorders>
              <w:top w:val="nil"/>
              <w:left w:val="nil"/>
              <w:bottom w:val="single" w:sz="4" w:space="0" w:color="000000"/>
              <w:right w:val="single" w:sz="4" w:space="0" w:color="000000"/>
            </w:tcBorders>
            <w:shd w:val="clear" w:color="auto" w:fill="auto"/>
            <w:noWrap/>
            <w:vAlign w:val="center"/>
            <w:hideMark/>
          </w:tcPr>
          <w:p w14:paraId="6EC37AA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506 140,6</w:t>
            </w:r>
          </w:p>
        </w:tc>
        <w:tc>
          <w:tcPr>
            <w:tcW w:w="1277" w:type="dxa"/>
            <w:tcBorders>
              <w:top w:val="nil"/>
              <w:left w:val="nil"/>
              <w:bottom w:val="single" w:sz="4" w:space="0" w:color="000000"/>
              <w:right w:val="single" w:sz="4" w:space="0" w:color="000000"/>
            </w:tcBorders>
            <w:shd w:val="clear" w:color="auto" w:fill="auto"/>
            <w:noWrap/>
            <w:vAlign w:val="center"/>
            <w:hideMark/>
          </w:tcPr>
          <w:p w14:paraId="5C46752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519 329,9</w:t>
            </w:r>
          </w:p>
        </w:tc>
        <w:tc>
          <w:tcPr>
            <w:tcW w:w="1276" w:type="dxa"/>
            <w:tcBorders>
              <w:top w:val="nil"/>
              <w:left w:val="nil"/>
              <w:bottom w:val="single" w:sz="4" w:space="0" w:color="000000"/>
              <w:right w:val="single" w:sz="4" w:space="0" w:color="000000"/>
            </w:tcBorders>
            <w:shd w:val="clear" w:color="auto" w:fill="auto"/>
            <w:noWrap/>
            <w:vAlign w:val="center"/>
            <w:hideMark/>
          </w:tcPr>
          <w:p w14:paraId="16090A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560 653,6</w:t>
            </w:r>
          </w:p>
        </w:tc>
        <w:tc>
          <w:tcPr>
            <w:tcW w:w="1275" w:type="dxa"/>
            <w:tcBorders>
              <w:top w:val="nil"/>
              <w:left w:val="nil"/>
              <w:bottom w:val="single" w:sz="4" w:space="0" w:color="000000"/>
              <w:right w:val="single" w:sz="4" w:space="0" w:color="000000"/>
            </w:tcBorders>
            <w:shd w:val="clear" w:color="auto" w:fill="auto"/>
            <w:noWrap/>
            <w:vAlign w:val="center"/>
            <w:hideMark/>
          </w:tcPr>
          <w:p w14:paraId="73D52C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574 617,5</w:t>
            </w:r>
          </w:p>
        </w:tc>
      </w:tr>
      <w:tr w:rsidR="00996507" w:rsidRPr="00996507" w14:paraId="28AD0E61"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0E17BC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F9449B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горячей водой)</w:t>
            </w:r>
          </w:p>
        </w:tc>
        <w:tc>
          <w:tcPr>
            <w:tcW w:w="1151" w:type="dxa"/>
            <w:tcBorders>
              <w:top w:val="nil"/>
              <w:left w:val="nil"/>
              <w:bottom w:val="single" w:sz="4" w:space="0" w:color="auto"/>
              <w:right w:val="single" w:sz="4" w:space="0" w:color="auto"/>
            </w:tcBorders>
            <w:shd w:val="clear" w:color="000000" w:fill="FFFFFF"/>
            <w:hideMark/>
          </w:tcPr>
          <w:p w14:paraId="36DD5CD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53F1F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39.3.2</w:t>
            </w:r>
          </w:p>
        </w:tc>
        <w:tc>
          <w:tcPr>
            <w:tcW w:w="1276" w:type="dxa"/>
            <w:tcBorders>
              <w:top w:val="nil"/>
              <w:left w:val="nil"/>
              <w:bottom w:val="single" w:sz="4" w:space="0" w:color="000000"/>
              <w:right w:val="single" w:sz="4" w:space="0" w:color="000000"/>
            </w:tcBorders>
            <w:shd w:val="clear" w:color="auto" w:fill="auto"/>
            <w:noWrap/>
            <w:vAlign w:val="center"/>
            <w:hideMark/>
          </w:tcPr>
          <w:p w14:paraId="41A101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31 614,0</w:t>
            </w:r>
          </w:p>
        </w:tc>
        <w:tc>
          <w:tcPr>
            <w:tcW w:w="1275" w:type="dxa"/>
            <w:tcBorders>
              <w:top w:val="nil"/>
              <w:left w:val="nil"/>
              <w:bottom w:val="single" w:sz="4" w:space="0" w:color="000000"/>
              <w:right w:val="single" w:sz="4" w:space="0" w:color="000000"/>
            </w:tcBorders>
            <w:shd w:val="clear" w:color="auto" w:fill="auto"/>
            <w:noWrap/>
            <w:vAlign w:val="center"/>
            <w:hideMark/>
          </w:tcPr>
          <w:p w14:paraId="58D3AD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35 014,0</w:t>
            </w:r>
          </w:p>
        </w:tc>
        <w:tc>
          <w:tcPr>
            <w:tcW w:w="1275" w:type="dxa"/>
            <w:tcBorders>
              <w:top w:val="nil"/>
              <w:left w:val="nil"/>
              <w:bottom w:val="single" w:sz="4" w:space="0" w:color="000000"/>
              <w:right w:val="single" w:sz="4" w:space="0" w:color="000000"/>
            </w:tcBorders>
            <w:shd w:val="clear" w:color="auto" w:fill="auto"/>
            <w:noWrap/>
            <w:vAlign w:val="center"/>
            <w:hideMark/>
          </w:tcPr>
          <w:p w14:paraId="4BC611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38 113,0</w:t>
            </w:r>
          </w:p>
        </w:tc>
        <w:tc>
          <w:tcPr>
            <w:tcW w:w="1277" w:type="dxa"/>
            <w:tcBorders>
              <w:top w:val="nil"/>
              <w:left w:val="nil"/>
              <w:bottom w:val="single" w:sz="4" w:space="0" w:color="000000"/>
              <w:right w:val="single" w:sz="4" w:space="0" w:color="000000"/>
            </w:tcBorders>
            <w:shd w:val="clear" w:color="auto" w:fill="auto"/>
            <w:noWrap/>
            <w:vAlign w:val="center"/>
            <w:hideMark/>
          </w:tcPr>
          <w:p w14:paraId="088FF4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41 814,0</w:t>
            </w:r>
          </w:p>
        </w:tc>
        <w:tc>
          <w:tcPr>
            <w:tcW w:w="1276" w:type="dxa"/>
            <w:tcBorders>
              <w:top w:val="nil"/>
              <w:left w:val="nil"/>
              <w:bottom w:val="single" w:sz="4" w:space="0" w:color="000000"/>
              <w:right w:val="single" w:sz="4" w:space="0" w:color="000000"/>
            </w:tcBorders>
            <w:shd w:val="clear" w:color="auto" w:fill="auto"/>
            <w:noWrap/>
            <w:vAlign w:val="center"/>
            <w:hideMark/>
          </w:tcPr>
          <w:p w14:paraId="15992F3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45 214,0</w:t>
            </w:r>
          </w:p>
        </w:tc>
        <w:tc>
          <w:tcPr>
            <w:tcW w:w="1275" w:type="dxa"/>
            <w:tcBorders>
              <w:top w:val="nil"/>
              <w:left w:val="nil"/>
              <w:bottom w:val="single" w:sz="4" w:space="0" w:color="000000"/>
              <w:right w:val="single" w:sz="4" w:space="0" w:color="000000"/>
            </w:tcBorders>
            <w:shd w:val="clear" w:color="auto" w:fill="auto"/>
            <w:noWrap/>
            <w:vAlign w:val="center"/>
            <w:hideMark/>
          </w:tcPr>
          <w:p w14:paraId="30B4F1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48 614,0</w:t>
            </w:r>
          </w:p>
        </w:tc>
      </w:tr>
      <w:tr w:rsidR="00996507" w:rsidRPr="00996507" w14:paraId="11E40037" w14:textId="77777777" w:rsidTr="00996507">
        <w:trPr>
          <w:trHeight w:val="1080"/>
        </w:trPr>
        <w:tc>
          <w:tcPr>
            <w:tcW w:w="1701" w:type="dxa"/>
            <w:vMerge/>
            <w:tcBorders>
              <w:top w:val="nil"/>
              <w:left w:val="single" w:sz="4" w:space="0" w:color="auto"/>
              <w:bottom w:val="single" w:sz="4" w:space="0" w:color="auto"/>
              <w:right w:val="single" w:sz="4" w:space="0" w:color="auto"/>
            </w:tcBorders>
            <w:vAlign w:val="center"/>
            <w:hideMark/>
          </w:tcPr>
          <w:p w14:paraId="120D6E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866B76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холодная вода</w:t>
            </w:r>
          </w:p>
        </w:tc>
        <w:tc>
          <w:tcPr>
            <w:tcW w:w="1151" w:type="dxa"/>
            <w:tcBorders>
              <w:top w:val="nil"/>
              <w:left w:val="nil"/>
              <w:bottom w:val="single" w:sz="4" w:space="0" w:color="auto"/>
              <w:right w:val="single" w:sz="4" w:space="0" w:color="auto"/>
            </w:tcBorders>
            <w:shd w:val="clear" w:color="000000" w:fill="FFFFFF"/>
            <w:hideMark/>
          </w:tcPr>
          <w:p w14:paraId="07968A5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3545ED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39.4</w:t>
            </w:r>
          </w:p>
        </w:tc>
        <w:tc>
          <w:tcPr>
            <w:tcW w:w="1276" w:type="dxa"/>
            <w:tcBorders>
              <w:top w:val="nil"/>
              <w:left w:val="nil"/>
              <w:bottom w:val="single" w:sz="4" w:space="0" w:color="000000"/>
              <w:right w:val="single" w:sz="4" w:space="0" w:color="000000"/>
            </w:tcBorders>
            <w:shd w:val="clear" w:color="000000" w:fill="C0C0C0"/>
            <w:noWrap/>
            <w:vAlign w:val="center"/>
            <w:hideMark/>
          </w:tcPr>
          <w:p w14:paraId="56B9A13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27,86</w:t>
            </w:r>
          </w:p>
        </w:tc>
        <w:tc>
          <w:tcPr>
            <w:tcW w:w="1275" w:type="dxa"/>
            <w:tcBorders>
              <w:top w:val="nil"/>
              <w:left w:val="nil"/>
              <w:bottom w:val="single" w:sz="4" w:space="0" w:color="000000"/>
              <w:right w:val="single" w:sz="4" w:space="0" w:color="000000"/>
            </w:tcBorders>
            <w:shd w:val="clear" w:color="000000" w:fill="C0C0C0"/>
            <w:noWrap/>
            <w:vAlign w:val="center"/>
            <w:hideMark/>
          </w:tcPr>
          <w:p w14:paraId="2A6A74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27,25</w:t>
            </w:r>
          </w:p>
        </w:tc>
        <w:tc>
          <w:tcPr>
            <w:tcW w:w="1275" w:type="dxa"/>
            <w:tcBorders>
              <w:top w:val="nil"/>
              <w:left w:val="nil"/>
              <w:bottom w:val="single" w:sz="4" w:space="0" w:color="000000"/>
              <w:right w:val="single" w:sz="4" w:space="0" w:color="000000"/>
            </w:tcBorders>
            <w:shd w:val="clear" w:color="000000" w:fill="C0C0C0"/>
            <w:noWrap/>
            <w:vAlign w:val="center"/>
            <w:hideMark/>
          </w:tcPr>
          <w:p w14:paraId="50F6C65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26,30</w:t>
            </w:r>
          </w:p>
        </w:tc>
        <w:tc>
          <w:tcPr>
            <w:tcW w:w="1277" w:type="dxa"/>
            <w:tcBorders>
              <w:top w:val="nil"/>
              <w:left w:val="nil"/>
              <w:bottom w:val="single" w:sz="4" w:space="0" w:color="000000"/>
              <w:right w:val="single" w:sz="4" w:space="0" w:color="000000"/>
            </w:tcBorders>
            <w:shd w:val="clear" w:color="000000" w:fill="C0C0C0"/>
            <w:noWrap/>
            <w:vAlign w:val="center"/>
            <w:hideMark/>
          </w:tcPr>
          <w:p w14:paraId="262417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26,20</w:t>
            </w:r>
          </w:p>
        </w:tc>
        <w:tc>
          <w:tcPr>
            <w:tcW w:w="1276" w:type="dxa"/>
            <w:tcBorders>
              <w:top w:val="nil"/>
              <w:left w:val="nil"/>
              <w:bottom w:val="single" w:sz="4" w:space="0" w:color="000000"/>
              <w:right w:val="single" w:sz="4" w:space="0" w:color="000000"/>
            </w:tcBorders>
            <w:shd w:val="clear" w:color="000000" w:fill="C0C0C0"/>
            <w:noWrap/>
            <w:vAlign w:val="center"/>
            <w:hideMark/>
          </w:tcPr>
          <w:p w14:paraId="51A39B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C897F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25,80</w:t>
            </w:r>
          </w:p>
        </w:tc>
      </w:tr>
      <w:tr w:rsidR="00996507" w:rsidRPr="00996507" w14:paraId="2213497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72E8ED6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CE8AE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холодной воды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356E2CA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5EB3700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39.4.1</w:t>
            </w:r>
          </w:p>
        </w:tc>
        <w:tc>
          <w:tcPr>
            <w:tcW w:w="1276" w:type="dxa"/>
            <w:tcBorders>
              <w:top w:val="nil"/>
              <w:left w:val="nil"/>
              <w:bottom w:val="single" w:sz="4" w:space="0" w:color="000000"/>
              <w:right w:val="single" w:sz="4" w:space="0" w:color="000000"/>
            </w:tcBorders>
            <w:shd w:val="clear" w:color="auto" w:fill="auto"/>
            <w:noWrap/>
            <w:vAlign w:val="center"/>
            <w:hideMark/>
          </w:tcPr>
          <w:p w14:paraId="24DCF4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2494 946,6</w:t>
            </w:r>
          </w:p>
        </w:tc>
        <w:tc>
          <w:tcPr>
            <w:tcW w:w="1275" w:type="dxa"/>
            <w:tcBorders>
              <w:top w:val="nil"/>
              <w:left w:val="nil"/>
              <w:bottom w:val="single" w:sz="4" w:space="0" w:color="000000"/>
              <w:right w:val="single" w:sz="4" w:space="0" w:color="000000"/>
            </w:tcBorders>
            <w:shd w:val="clear" w:color="auto" w:fill="auto"/>
            <w:noWrap/>
            <w:vAlign w:val="center"/>
            <w:hideMark/>
          </w:tcPr>
          <w:p w14:paraId="4B8FB7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2586 510,0</w:t>
            </w:r>
          </w:p>
        </w:tc>
        <w:tc>
          <w:tcPr>
            <w:tcW w:w="1275" w:type="dxa"/>
            <w:tcBorders>
              <w:top w:val="nil"/>
              <w:left w:val="nil"/>
              <w:bottom w:val="single" w:sz="4" w:space="0" w:color="000000"/>
              <w:right w:val="single" w:sz="4" w:space="0" w:color="000000"/>
            </w:tcBorders>
            <w:shd w:val="clear" w:color="auto" w:fill="auto"/>
            <w:noWrap/>
            <w:vAlign w:val="center"/>
            <w:hideMark/>
          </w:tcPr>
          <w:p w14:paraId="637674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2527 982,3</w:t>
            </w:r>
          </w:p>
        </w:tc>
        <w:tc>
          <w:tcPr>
            <w:tcW w:w="1277" w:type="dxa"/>
            <w:tcBorders>
              <w:top w:val="nil"/>
              <w:left w:val="nil"/>
              <w:bottom w:val="single" w:sz="4" w:space="0" w:color="000000"/>
              <w:right w:val="single" w:sz="4" w:space="0" w:color="000000"/>
            </w:tcBorders>
            <w:shd w:val="clear" w:color="auto" w:fill="auto"/>
            <w:noWrap/>
            <w:vAlign w:val="center"/>
            <w:hideMark/>
          </w:tcPr>
          <w:p w14:paraId="526174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2549 679,2</w:t>
            </w:r>
          </w:p>
        </w:tc>
        <w:tc>
          <w:tcPr>
            <w:tcW w:w="1276" w:type="dxa"/>
            <w:tcBorders>
              <w:top w:val="nil"/>
              <w:left w:val="nil"/>
              <w:bottom w:val="single" w:sz="4" w:space="0" w:color="000000"/>
              <w:right w:val="single" w:sz="4" w:space="0" w:color="000000"/>
            </w:tcBorders>
            <w:shd w:val="clear" w:color="auto" w:fill="auto"/>
            <w:noWrap/>
            <w:vAlign w:val="center"/>
            <w:hideMark/>
          </w:tcPr>
          <w:p w14:paraId="7FC020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2561 286,0</w:t>
            </w:r>
          </w:p>
        </w:tc>
        <w:tc>
          <w:tcPr>
            <w:tcW w:w="1275" w:type="dxa"/>
            <w:tcBorders>
              <w:top w:val="nil"/>
              <w:left w:val="nil"/>
              <w:bottom w:val="single" w:sz="4" w:space="0" w:color="000000"/>
              <w:right w:val="single" w:sz="4" w:space="0" w:color="000000"/>
            </w:tcBorders>
            <w:shd w:val="clear" w:color="auto" w:fill="auto"/>
            <w:noWrap/>
            <w:vAlign w:val="center"/>
            <w:hideMark/>
          </w:tcPr>
          <w:p w14:paraId="08B8514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2572 414,8</w:t>
            </w:r>
          </w:p>
        </w:tc>
      </w:tr>
      <w:tr w:rsidR="00996507" w:rsidRPr="00996507" w14:paraId="1BF6FDBE"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8F736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EFE09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холодной водой)</w:t>
            </w:r>
          </w:p>
        </w:tc>
        <w:tc>
          <w:tcPr>
            <w:tcW w:w="1151" w:type="dxa"/>
            <w:tcBorders>
              <w:top w:val="nil"/>
              <w:left w:val="nil"/>
              <w:bottom w:val="single" w:sz="4" w:space="0" w:color="auto"/>
              <w:right w:val="single" w:sz="4" w:space="0" w:color="auto"/>
            </w:tcBorders>
            <w:shd w:val="clear" w:color="000000" w:fill="FFFFFF"/>
            <w:hideMark/>
          </w:tcPr>
          <w:p w14:paraId="12C5017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AD61C1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39.4.2</w:t>
            </w:r>
          </w:p>
        </w:tc>
        <w:tc>
          <w:tcPr>
            <w:tcW w:w="1276" w:type="dxa"/>
            <w:tcBorders>
              <w:top w:val="nil"/>
              <w:left w:val="nil"/>
              <w:bottom w:val="single" w:sz="4" w:space="0" w:color="000000"/>
              <w:right w:val="single" w:sz="4" w:space="0" w:color="000000"/>
            </w:tcBorders>
            <w:shd w:val="clear" w:color="auto" w:fill="auto"/>
            <w:noWrap/>
            <w:vAlign w:val="center"/>
            <w:hideMark/>
          </w:tcPr>
          <w:p w14:paraId="730104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89 553,0</w:t>
            </w:r>
          </w:p>
        </w:tc>
        <w:tc>
          <w:tcPr>
            <w:tcW w:w="1275" w:type="dxa"/>
            <w:tcBorders>
              <w:top w:val="nil"/>
              <w:left w:val="nil"/>
              <w:bottom w:val="single" w:sz="4" w:space="0" w:color="000000"/>
              <w:right w:val="single" w:sz="4" w:space="0" w:color="000000"/>
            </w:tcBorders>
            <w:shd w:val="clear" w:color="auto" w:fill="auto"/>
            <w:noWrap/>
            <w:vAlign w:val="center"/>
            <w:hideMark/>
          </w:tcPr>
          <w:p w14:paraId="0917D5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94 926,0</w:t>
            </w:r>
          </w:p>
        </w:tc>
        <w:tc>
          <w:tcPr>
            <w:tcW w:w="1275" w:type="dxa"/>
            <w:tcBorders>
              <w:top w:val="nil"/>
              <w:left w:val="nil"/>
              <w:bottom w:val="single" w:sz="4" w:space="0" w:color="000000"/>
              <w:right w:val="single" w:sz="4" w:space="0" w:color="000000"/>
            </w:tcBorders>
            <w:shd w:val="clear" w:color="auto" w:fill="auto"/>
            <w:noWrap/>
            <w:vAlign w:val="center"/>
            <w:hideMark/>
          </w:tcPr>
          <w:p w14:paraId="726A936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96 121,0</w:t>
            </w:r>
          </w:p>
        </w:tc>
        <w:tc>
          <w:tcPr>
            <w:tcW w:w="1277" w:type="dxa"/>
            <w:tcBorders>
              <w:top w:val="nil"/>
              <w:left w:val="nil"/>
              <w:bottom w:val="single" w:sz="4" w:space="0" w:color="000000"/>
              <w:right w:val="single" w:sz="4" w:space="0" w:color="000000"/>
            </w:tcBorders>
            <w:shd w:val="clear" w:color="auto" w:fill="auto"/>
            <w:noWrap/>
            <w:vAlign w:val="center"/>
            <w:hideMark/>
          </w:tcPr>
          <w:p w14:paraId="7DA650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97 316,0</w:t>
            </w:r>
          </w:p>
        </w:tc>
        <w:tc>
          <w:tcPr>
            <w:tcW w:w="1276" w:type="dxa"/>
            <w:tcBorders>
              <w:top w:val="nil"/>
              <w:left w:val="nil"/>
              <w:bottom w:val="single" w:sz="4" w:space="0" w:color="000000"/>
              <w:right w:val="single" w:sz="4" w:space="0" w:color="000000"/>
            </w:tcBorders>
            <w:shd w:val="clear" w:color="auto" w:fill="auto"/>
            <w:noWrap/>
            <w:vAlign w:val="center"/>
            <w:hideMark/>
          </w:tcPr>
          <w:p w14:paraId="7060B18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98 511,0</w:t>
            </w:r>
          </w:p>
        </w:tc>
        <w:tc>
          <w:tcPr>
            <w:tcW w:w="1275" w:type="dxa"/>
            <w:tcBorders>
              <w:top w:val="nil"/>
              <w:left w:val="nil"/>
              <w:bottom w:val="single" w:sz="4" w:space="0" w:color="000000"/>
              <w:right w:val="single" w:sz="4" w:space="0" w:color="000000"/>
            </w:tcBorders>
            <w:shd w:val="clear" w:color="auto" w:fill="auto"/>
            <w:noWrap/>
            <w:vAlign w:val="center"/>
            <w:hideMark/>
          </w:tcPr>
          <w:p w14:paraId="4887C75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99 706,0</w:t>
            </w:r>
          </w:p>
        </w:tc>
      </w:tr>
      <w:tr w:rsidR="00996507" w:rsidRPr="00996507" w14:paraId="74D0AD45"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6D71312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77517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природный газ</w:t>
            </w:r>
          </w:p>
        </w:tc>
        <w:tc>
          <w:tcPr>
            <w:tcW w:w="1151" w:type="dxa"/>
            <w:tcBorders>
              <w:top w:val="nil"/>
              <w:left w:val="nil"/>
              <w:bottom w:val="single" w:sz="4" w:space="0" w:color="auto"/>
              <w:right w:val="single" w:sz="4" w:space="0" w:color="auto"/>
            </w:tcBorders>
            <w:shd w:val="clear" w:color="000000" w:fill="FFFFFF"/>
            <w:hideMark/>
          </w:tcPr>
          <w:p w14:paraId="3E7C901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4BB121C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39.5</w:t>
            </w:r>
          </w:p>
        </w:tc>
        <w:tc>
          <w:tcPr>
            <w:tcW w:w="1276" w:type="dxa"/>
            <w:tcBorders>
              <w:top w:val="nil"/>
              <w:left w:val="nil"/>
              <w:bottom w:val="single" w:sz="4" w:space="0" w:color="000000"/>
              <w:right w:val="single" w:sz="4" w:space="0" w:color="000000"/>
            </w:tcBorders>
            <w:shd w:val="clear" w:color="000000" w:fill="C0C0C0"/>
            <w:noWrap/>
            <w:vAlign w:val="center"/>
            <w:hideMark/>
          </w:tcPr>
          <w:p w14:paraId="656A35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31,50</w:t>
            </w:r>
          </w:p>
        </w:tc>
        <w:tc>
          <w:tcPr>
            <w:tcW w:w="1275" w:type="dxa"/>
            <w:tcBorders>
              <w:top w:val="nil"/>
              <w:left w:val="nil"/>
              <w:bottom w:val="single" w:sz="4" w:space="0" w:color="000000"/>
              <w:right w:val="single" w:sz="4" w:space="0" w:color="000000"/>
            </w:tcBorders>
            <w:shd w:val="clear" w:color="000000" w:fill="C0C0C0"/>
            <w:noWrap/>
            <w:vAlign w:val="center"/>
            <w:hideMark/>
          </w:tcPr>
          <w:p w14:paraId="36899D2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30,76</w:t>
            </w:r>
          </w:p>
        </w:tc>
        <w:tc>
          <w:tcPr>
            <w:tcW w:w="1275" w:type="dxa"/>
            <w:tcBorders>
              <w:top w:val="nil"/>
              <w:left w:val="nil"/>
              <w:bottom w:val="single" w:sz="4" w:space="0" w:color="000000"/>
              <w:right w:val="single" w:sz="4" w:space="0" w:color="000000"/>
            </w:tcBorders>
            <w:shd w:val="clear" w:color="000000" w:fill="C0C0C0"/>
            <w:noWrap/>
            <w:vAlign w:val="center"/>
            <w:hideMark/>
          </w:tcPr>
          <w:p w14:paraId="585FF2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29,00</w:t>
            </w:r>
          </w:p>
        </w:tc>
        <w:tc>
          <w:tcPr>
            <w:tcW w:w="1277" w:type="dxa"/>
            <w:tcBorders>
              <w:top w:val="nil"/>
              <w:left w:val="nil"/>
              <w:bottom w:val="single" w:sz="4" w:space="0" w:color="000000"/>
              <w:right w:val="single" w:sz="4" w:space="0" w:color="000000"/>
            </w:tcBorders>
            <w:shd w:val="clear" w:color="000000" w:fill="C0C0C0"/>
            <w:noWrap/>
            <w:vAlign w:val="center"/>
            <w:hideMark/>
          </w:tcPr>
          <w:p w14:paraId="73D7F46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28,13</w:t>
            </w:r>
          </w:p>
        </w:tc>
        <w:tc>
          <w:tcPr>
            <w:tcW w:w="1276" w:type="dxa"/>
            <w:tcBorders>
              <w:top w:val="nil"/>
              <w:left w:val="nil"/>
              <w:bottom w:val="single" w:sz="4" w:space="0" w:color="000000"/>
              <w:right w:val="single" w:sz="4" w:space="0" w:color="000000"/>
            </w:tcBorders>
            <w:shd w:val="clear" w:color="000000" w:fill="C0C0C0"/>
            <w:noWrap/>
            <w:vAlign w:val="center"/>
            <w:hideMark/>
          </w:tcPr>
          <w:p w14:paraId="3EC945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27,99</w:t>
            </w:r>
          </w:p>
        </w:tc>
        <w:tc>
          <w:tcPr>
            <w:tcW w:w="1275" w:type="dxa"/>
            <w:tcBorders>
              <w:top w:val="nil"/>
              <w:left w:val="nil"/>
              <w:bottom w:val="single" w:sz="4" w:space="0" w:color="000000"/>
              <w:right w:val="single" w:sz="4" w:space="0" w:color="000000"/>
            </w:tcBorders>
            <w:shd w:val="clear" w:color="000000" w:fill="C0C0C0"/>
            <w:noWrap/>
            <w:vAlign w:val="center"/>
            <w:hideMark/>
          </w:tcPr>
          <w:p w14:paraId="4A7B3C9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27,36</w:t>
            </w:r>
          </w:p>
        </w:tc>
      </w:tr>
      <w:tr w:rsidR="00996507" w:rsidRPr="00996507" w14:paraId="26E708E5"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4941B4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0E7BD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потребленного природного газа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154B728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0A75C6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39.5.1</w:t>
            </w:r>
          </w:p>
        </w:tc>
        <w:tc>
          <w:tcPr>
            <w:tcW w:w="1276" w:type="dxa"/>
            <w:tcBorders>
              <w:top w:val="nil"/>
              <w:left w:val="nil"/>
              <w:bottom w:val="single" w:sz="4" w:space="0" w:color="000000"/>
              <w:right w:val="single" w:sz="4" w:space="0" w:color="000000"/>
            </w:tcBorders>
            <w:shd w:val="clear" w:color="auto" w:fill="auto"/>
            <w:noWrap/>
            <w:vAlign w:val="center"/>
            <w:hideMark/>
          </w:tcPr>
          <w:p w14:paraId="633C3A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1192 873,5</w:t>
            </w:r>
          </w:p>
        </w:tc>
        <w:tc>
          <w:tcPr>
            <w:tcW w:w="1275" w:type="dxa"/>
            <w:tcBorders>
              <w:top w:val="nil"/>
              <w:left w:val="nil"/>
              <w:bottom w:val="single" w:sz="4" w:space="0" w:color="000000"/>
              <w:right w:val="single" w:sz="4" w:space="0" w:color="000000"/>
            </w:tcBorders>
            <w:shd w:val="clear" w:color="auto" w:fill="auto"/>
            <w:noWrap/>
            <w:vAlign w:val="center"/>
            <w:hideMark/>
          </w:tcPr>
          <w:p w14:paraId="18ACFA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1287 698,0</w:t>
            </w:r>
          </w:p>
        </w:tc>
        <w:tc>
          <w:tcPr>
            <w:tcW w:w="1275" w:type="dxa"/>
            <w:tcBorders>
              <w:top w:val="nil"/>
              <w:left w:val="nil"/>
              <w:bottom w:val="single" w:sz="4" w:space="0" w:color="000000"/>
              <w:right w:val="single" w:sz="4" w:space="0" w:color="000000"/>
            </w:tcBorders>
            <w:shd w:val="clear" w:color="auto" w:fill="auto"/>
            <w:noWrap/>
            <w:vAlign w:val="center"/>
            <w:hideMark/>
          </w:tcPr>
          <w:p w14:paraId="3F10E6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1272 201,0</w:t>
            </w:r>
          </w:p>
        </w:tc>
        <w:tc>
          <w:tcPr>
            <w:tcW w:w="1277" w:type="dxa"/>
            <w:tcBorders>
              <w:top w:val="nil"/>
              <w:left w:val="nil"/>
              <w:bottom w:val="single" w:sz="4" w:space="0" w:color="000000"/>
              <w:right w:val="single" w:sz="4" w:space="0" w:color="000000"/>
            </w:tcBorders>
            <w:shd w:val="clear" w:color="auto" w:fill="auto"/>
            <w:noWrap/>
            <w:vAlign w:val="center"/>
            <w:hideMark/>
          </w:tcPr>
          <w:p w14:paraId="066D0B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1290 295,0</w:t>
            </w:r>
          </w:p>
        </w:tc>
        <w:tc>
          <w:tcPr>
            <w:tcW w:w="1276" w:type="dxa"/>
            <w:tcBorders>
              <w:top w:val="nil"/>
              <w:left w:val="nil"/>
              <w:bottom w:val="single" w:sz="4" w:space="0" w:color="000000"/>
              <w:right w:val="single" w:sz="4" w:space="0" w:color="000000"/>
            </w:tcBorders>
            <w:shd w:val="clear" w:color="auto" w:fill="auto"/>
            <w:noWrap/>
            <w:vAlign w:val="center"/>
            <w:hideMark/>
          </w:tcPr>
          <w:p w14:paraId="2068AD5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1339 853,3</w:t>
            </w:r>
          </w:p>
        </w:tc>
        <w:tc>
          <w:tcPr>
            <w:tcW w:w="1275" w:type="dxa"/>
            <w:tcBorders>
              <w:top w:val="nil"/>
              <w:left w:val="nil"/>
              <w:bottom w:val="single" w:sz="4" w:space="0" w:color="000000"/>
              <w:right w:val="single" w:sz="4" w:space="0" w:color="000000"/>
            </w:tcBorders>
            <w:shd w:val="clear" w:color="auto" w:fill="auto"/>
            <w:noWrap/>
            <w:vAlign w:val="center"/>
            <w:hideMark/>
          </w:tcPr>
          <w:p w14:paraId="6ACF1F0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1364 415,8</w:t>
            </w:r>
          </w:p>
        </w:tc>
      </w:tr>
      <w:tr w:rsidR="00996507" w:rsidRPr="00996507" w14:paraId="3D273DED"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084D048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DB244A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газом)</w:t>
            </w:r>
          </w:p>
        </w:tc>
        <w:tc>
          <w:tcPr>
            <w:tcW w:w="1151" w:type="dxa"/>
            <w:tcBorders>
              <w:top w:val="nil"/>
              <w:left w:val="nil"/>
              <w:bottom w:val="single" w:sz="4" w:space="0" w:color="auto"/>
              <w:right w:val="single" w:sz="4" w:space="0" w:color="auto"/>
            </w:tcBorders>
            <w:shd w:val="clear" w:color="000000" w:fill="FFFFFF"/>
            <w:hideMark/>
          </w:tcPr>
          <w:p w14:paraId="0B01275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650136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39.5.2</w:t>
            </w:r>
          </w:p>
        </w:tc>
        <w:tc>
          <w:tcPr>
            <w:tcW w:w="1276" w:type="dxa"/>
            <w:tcBorders>
              <w:top w:val="nil"/>
              <w:left w:val="nil"/>
              <w:bottom w:val="single" w:sz="4" w:space="0" w:color="000000"/>
              <w:right w:val="single" w:sz="4" w:space="0" w:color="000000"/>
            </w:tcBorders>
            <w:shd w:val="clear" w:color="auto" w:fill="auto"/>
            <w:noWrap/>
            <w:vAlign w:val="center"/>
            <w:hideMark/>
          </w:tcPr>
          <w:p w14:paraId="0905DA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37 869,0</w:t>
            </w:r>
          </w:p>
        </w:tc>
        <w:tc>
          <w:tcPr>
            <w:tcW w:w="1275" w:type="dxa"/>
            <w:tcBorders>
              <w:top w:val="nil"/>
              <w:left w:val="nil"/>
              <w:bottom w:val="single" w:sz="4" w:space="0" w:color="000000"/>
              <w:right w:val="single" w:sz="4" w:space="0" w:color="000000"/>
            </w:tcBorders>
            <w:shd w:val="clear" w:color="auto" w:fill="auto"/>
            <w:noWrap/>
            <w:vAlign w:val="center"/>
            <w:hideMark/>
          </w:tcPr>
          <w:p w14:paraId="40A1BF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41 869,0</w:t>
            </w:r>
          </w:p>
        </w:tc>
        <w:tc>
          <w:tcPr>
            <w:tcW w:w="1275" w:type="dxa"/>
            <w:tcBorders>
              <w:top w:val="nil"/>
              <w:left w:val="nil"/>
              <w:bottom w:val="single" w:sz="4" w:space="0" w:color="000000"/>
              <w:right w:val="single" w:sz="4" w:space="0" w:color="000000"/>
            </w:tcBorders>
            <w:shd w:val="clear" w:color="auto" w:fill="auto"/>
            <w:noWrap/>
            <w:vAlign w:val="center"/>
            <w:hideMark/>
          </w:tcPr>
          <w:p w14:paraId="183EC6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43 869,0</w:t>
            </w:r>
          </w:p>
        </w:tc>
        <w:tc>
          <w:tcPr>
            <w:tcW w:w="1277" w:type="dxa"/>
            <w:tcBorders>
              <w:top w:val="nil"/>
              <w:left w:val="nil"/>
              <w:bottom w:val="single" w:sz="4" w:space="0" w:color="000000"/>
              <w:right w:val="single" w:sz="4" w:space="0" w:color="000000"/>
            </w:tcBorders>
            <w:shd w:val="clear" w:color="auto" w:fill="auto"/>
            <w:noWrap/>
            <w:vAlign w:val="center"/>
            <w:hideMark/>
          </w:tcPr>
          <w:p w14:paraId="3B4129F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45 869,0</w:t>
            </w:r>
          </w:p>
        </w:tc>
        <w:tc>
          <w:tcPr>
            <w:tcW w:w="1276" w:type="dxa"/>
            <w:tcBorders>
              <w:top w:val="nil"/>
              <w:left w:val="nil"/>
              <w:bottom w:val="single" w:sz="4" w:space="0" w:color="000000"/>
              <w:right w:val="single" w:sz="4" w:space="0" w:color="000000"/>
            </w:tcBorders>
            <w:shd w:val="clear" w:color="auto" w:fill="auto"/>
            <w:noWrap/>
            <w:vAlign w:val="center"/>
            <w:hideMark/>
          </w:tcPr>
          <w:p w14:paraId="4DF457A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47 869,0</w:t>
            </w:r>
          </w:p>
        </w:tc>
        <w:tc>
          <w:tcPr>
            <w:tcW w:w="1275" w:type="dxa"/>
            <w:tcBorders>
              <w:top w:val="nil"/>
              <w:left w:val="nil"/>
              <w:bottom w:val="single" w:sz="4" w:space="0" w:color="000000"/>
              <w:right w:val="single" w:sz="4" w:space="0" w:color="000000"/>
            </w:tcBorders>
            <w:shd w:val="clear" w:color="auto" w:fill="auto"/>
            <w:noWrap/>
            <w:vAlign w:val="center"/>
            <w:hideMark/>
          </w:tcPr>
          <w:p w14:paraId="31D46B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49 869,0</w:t>
            </w:r>
          </w:p>
        </w:tc>
      </w:tr>
      <w:tr w:rsidR="00996507" w:rsidRPr="00996507" w14:paraId="3BF7BEC3"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57F8BF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9290E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w:t>
            </w:r>
          </w:p>
        </w:tc>
        <w:tc>
          <w:tcPr>
            <w:tcW w:w="1151" w:type="dxa"/>
            <w:tcBorders>
              <w:top w:val="nil"/>
              <w:left w:val="nil"/>
              <w:bottom w:val="single" w:sz="4" w:space="0" w:color="auto"/>
              <w:right w:val="single" w:sz="4" w:space="0" w:color="auto"/>
            </w:tcBorders>
            <w:shd w:val="clear" w:color="000000" w:fill="FFFFFF"/>
            <w:hideMark/>
          </w:tcPr>
          <w:p w14:paraId="271265F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07DF5BE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000000"/>
              <w:right w:val="single" w:sz="4" w:space="0" w:color="000000"/>
            </w:tcBorders>
            <w:shd w:val="clear" w:color="000000" w:fill="C0C0C0"/>
            <w:noWrap/>
            <w:vAlign w:val="center"/>
            <w:hideMark/>
          </w:tcPr>
          <w:p w14:paraId="1ED4665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5567A3E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0408800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552490F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76D945D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08583BB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08E4456"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A5E0C2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505927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электрическая энергия</w:t>
            </w:r>
          </w:p>
        </w:tc>
        <w:tc>
          <w:tcPr>
            <w:tcW w:w="1151" w:type="dxa"/>
            <w:tcBorders>
              <w:top w:val="nil"/>
              <w:left w:val="nil"/>
              <w:bottom w:val="single" w:sz="4" w:space="0" w:color="auto"/>
              <w:right w:val="single" w:sz="4" w:space="0" w:color="auto"/>
            </w:tcBorders>
            <w:shd w:val="clear" w:color="000000" w:fill="FFFFFF"/>
            <w:hideMark/>
          </w:tcPr>
          <w:p w14:paraId="71D14FB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килловат в час на 1 проживающего</w:t>
            </w:r>
          </w:p>
        </w:tc>
        <w:tc>
          <w:tcPr>
            <w:tcW w:w="992" w:type="dxa"/>
            <w:tcBorders>
              <w:top w:val="nil"/>
              <w:left w:val="nil"/>
              <w:bottom w:val="single" w:sz="4" w:space="0" w:color="auto"/>
              <w:right w:val="single" w:sz="4" w:space="0" w:color="auto"/>
            </w:tcBorders>
            <w:shd w:val="clear" w:color="000000" w:fill="FFFFFF"/>
            <w:hideMark/>
          </w:tcPr>
          <w:p w14:paraId="05ED552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40.1</w:t>
            </w:r>
          </w:p>
        </w:tc>
        <w:tc>
          <w:tcPr>
            <w:tcW w:w="1276" w:type="dxa"/>
            <w:tcBorders>
              <w:top w:val="nil"/>
              <w:left w:val="nil"/>
              <w:bottom w:val="single" w:sz="4" w:space="0" w:color="000000"/>
              <w:right w:val="single" w:sz="4" w:space="0" w:color="000000"/>
            </w:tcBorders>
            <w:shd w:val="clear" w:color="000000" w:fill="C0C0C0"/>
            <w:noWrap/>
            <w:vAlign w:val="center"/>
            <w:hideMark/>
          </w:tcPr>
          <w:p w14:paraId="7CE7F83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105,93</w:t>
            </w:r>
          </w:p>
        </w:tc>
        <w:tc>
          <w:tcPr>
            <w:tcW w:w="1275" w:type="dxa"/>
            <w:tcBorders>
              <w:top w:val="nil"/>
              <w:left w:val="nil"/>
              <w:bottom w:val="single" w:sz="4" w:space="0" w:color="000000"/>
              <w:right w:val="single" w:sz="4" w:space="0" w:color="000000"/>
            </w:tcBorders>
            <w:shd w:val="clear" w:color="000000" w:fill="C0C0C0"/>
            <w:noWrap/>
            <w:vAlign w:val="center"/>
            <w:hideMark/>
          </w:tcPr>
          <w:p w14:paraId="6A29D0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104,99</w:t>
            </w:r>
          </w:p>
        </w:tc>
        <w:tc>
          <w:tcPr>
            <w:tcW w:w="1275" w:type="dxa"/>
            <w:tcBorders>
              <w:top w:val="nil"/>
              <w:left w:val="nil"/>
              <w:bottom w:val="single" w:sz="4" w:space="0" w:color="000000"/>
              <w:right w:val="single" w:sz="4" w:space="0" w:color="000000"/>
            </w:tcBorders>
            <w:shd w:val="clear" w:color="000000" w:fill="C0C0C0"/>
            <w:noWrap/>
            <w:vAlign w:val="center"/>
            <w:hideMark/>
          </w:tcPr>
          <w:p w14:paraId="6133E1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102,88</w:t>
            </w:r>
          </w:p>
        </w:tc>
        <w:tc>
          <w:tcPr>
            <w:tcW w:w="1277" w:type="dxa"/>
            <w:tcBorders>
              <w:top w:val="nil"/>
              <w:left w:val="nil"/>
              <w:bottom w:val="single" w:sz="4" w:space="0" w:color="000000"/>
              <w:right w:val="single" w:sz="4" w:space="0" w:color="000000"/>
            </w:tcBorders>
            <w:shd w:val="clear" w:color="000000" w:fill="C0C0C0"/>
            <w:noWrap/>
            <w:vAlign w:val="center"/>
            <w:hideMark/>
          </w:tcPr>
          <w:p w14:paraId="1E5867B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100,36</w:t>
            </w:r>
          </w:p>
        </w:tc>
        <w:tc>
          <w:tcPr>
            <w:tcW w:w="1276" w:type="dxa"/>
            <w:tcBorders>
              <w:top w:val="nil"/>
              <w:left w:val="nil"/>
              <w:bottom w:val="single" w:sz="4" w:space="0" w:color="000000"/>
              <w:right w:val="single" w:sz="4" w:space="0" w:color="000000"/>
            </w:tcBorders>
            <w:shd w:val="clear" w:color="000000" w:fill="C0C0C0"/>
            <w:noWrap/>
            <w:vAlign w:val="center"/>
            <w:hideMark/>
          </w:tcPr>
          <w:p w14:paraId="409008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100,09</w:t>
            </w:r>
          </w:p>
        </w:tc>
        <w:tc>
          <w:tcPr>
            <w:tcW w:w="1275" w:type="dxa"/>
            <w:tcBorders>
              <w:top w:val="nil"/>
              <w:left w:val="nil"/>
              <w:bottom w:val="single" w:sz="4" w:space="0" w:color="000000"/>
              <w:right w:val="single" w:sz="4" w:space="0" w:color="000000"/>
            </w:tcBorders>
            <w:shd w:val="clear" w:color="000000" w:fill="C0C0C0"/>
            <w:noWrap/>
            <w:vAlign w:val="center"/>
            <w:hideMark/>
          </w:tcPr>
          <w:p w14:paraId="70B5912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99,82</w:t>
            </w:r>
          </w:p>
        </w:tc>
      </w:tr>
      <w:tr w:rsidR="00996507" w:rsidRPr="00996507" w14:paraId="1096C27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6CE04F8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4573E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Суммарное потребление электроэнергии всеми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51FB93E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киловатт</w:t>
            </w:r>
          </w:p>
        </w:tc>
        <w:tc>
          <w:tcPr>
            <w:tcW w:w="992" w:type="dxa"/>
            <w:tcBorders>
              <w:top w:val="nil"/>
              <w:left w:val="nil"/>
              <w:bottom w:val="single" w:sz="4" w:space="0" w:color="auto"/>
              <w:right w:val="single" w:sz="4" w:space="0" w:color="auto"/>
            </w:tcBorders>
            <w:shd w:val="clear" w:color="000000" w:fill="FFFFFF"/>
            <w:hideMark/>
          </w:tcPr>
          <w:p w14:paraId="3B652A5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40.1.1</w:t>
            </w:r>
          </w:p>
        </w:tc>
        <w:tc>
          <w:tcPr>
            <w:tcW w:w="1276" w:type="dxa"/>
            <w:tcBorders>
              <w:top w:val="nil"/>
              <w:left w:val="nil"/>
              <w:bottom w:val="single" w:sz="4" w:space="0" w:color="000000"/>
              <w:right w:val="single" w:sz="4" w:space="0" w:color="000000"/>
            </w:tcBorders>
            <w:shd w:val="clear" w:color="auto" w:fill="auto"/>
            <w:noWrap/>
            <w:vAlign w:val="center"/>
            <w:hideMark/>
          </w:tcPr>
          <w:p w14:paraId="3315C19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9999 395,7</w:t>
            </w:r>
          </w:p>
        </w:tc>
        <w:tc>
          <w:tcPr>
            <w:tcW w:w="1275" w:type="dxa"/>
            <w:tcBorders>
              <w:top w:val="nil"/>
              <w:left w:val="nil"/>
              <w:bottom w:val="single" w:sz="4" w:space="0" w:color="000000"/>
              <w:right w:val="single" w:sz="4" w:space="0" w:color="000000"/>
            </w:tcBorders>
            <w:shd w:val="clear" w:color="auto" w:fill="auto"/>
            <w:noWrap/>
            <w:vAlign w:val="center"/>
            <w:hideMark/>
          </w:tcPr>
          <w:p w14:paraId="64AFA4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10089 984,8</w:t>
            </w:r>
          </w:p>
        </w:tc>
        <w:tc>
          <w:tcPr>
            <w:tcW w:w="1275" w:type="dxa"/>
            <w:tcBorders>
              <w:top w:val="nil"/>
              <w:left w:val="nil"/>
              <w:bottom w:val="single" w:sz="4" w:space="0" w:color="000000"/>
              <w:right w:val="single" w:sz="4" w:space="0" w:color="000000"/>
            </w:tcBorders>
            <w:shd w:val="clear" w:color="auto" w:fill="auto"/>
            <w:noWrap/>
            <w:vAlign w:val="center"/>
            <w:hideMark/>
          </w:tcPr>
          <w:p w14:paraId="4145BD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10063 104,3</w:t>
            </w:r>
          </w:p>
        </w:tc>
        <w:tc>
          <w:tcPr>
            <w:tcW w:w="1277" w:type="dxa"/>
            <w:tcBorders>
              <w:top w:val="nil"/>
              <w:left w:val="nil"/>
              <w:bottom w:val="single" w:sz="4" w:space="0" w:color="000000"/>
              <w:right w:val="single" w:sz="4" w:space="0" w:color="000000"/>
            </w:tcBorders>
            <w:shd w:val="clear" w:color="auto" w:fill="auto"/>
            <w:noWrap/>
            <w:vAlign w:val="center"/>
            <w:hideMark/>
          </w:tcPr>
          <w:p w14:paraId="2B75688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9995 856,0</w:t>
            </w:r>
          </w:p>
        </w:tc>
        <w:tc>
          <w:tcPr>
            <w:tcW w:w="1276" w:type="dxa"/>
            <w:tcBorders>
              <w:top w:val="nil"/>
              <w:left w:val="nil"/>
              <w:bottom w:val="single" w:sz="4" w:space="0" w:color="000000"/>
              <w:right w:val="single" w:sz="4" w:space="0" w:color="000000"/>
            </w:tcBorders>
            <w:shd w:val="clear" w:color="auto" w:fill="auto"/>
            <w:noWrap/>
            <w:vAlign w:val="center"/>
            <w:hideMark/>
          </w:tcPr>
          <w:p w14:paraId="52384FE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10149 126,0</w:t>
            </w:r>
          </w:p>
        </w:tc>
        <w:tc>
          <w:tcPr>
            <w:tcW w:w="1275" w:type="dxa"/>
            <w:tcBorders>
              <w:top w:val="nil"/>
              <w:left w:val="nil"/>
              <w:bottom w:val="single" w:sz="4" w:space="0" w:color="000000"/>
              <w:right w:val="single" w:sz="4" w:space="0" w:color="000000"/>
            </w:tcBorders>
            <w:shd w:val="clear" w:color="auto" w:fill="auto"/>
            <w:noWrap/>
            <w:vAlign w:val="center"/>
            <w:hideMark/>
          </w:tcPr>
          <w:p w14:paraId="555DF5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10301 424,0</w:t>
            </w:r>
          </w:p>
        </w:tc>
      </w:tr>
      <w:tr w:rsidR="00996507" w:rsidRPr="00996507" w14:paraId="554E7463"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2B0034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579F09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тепловая энергия</w:t>
            </w:r>
          </w:p>
        </w:tc>
        <w:tc>
          <w:tcPr>
            <w:tcW w:w="1151" w:type="dxa"/>
            <w:tcBorders>
              <w:top w:val="nil"/>
              <w:left w:val="nil"/>
              <w:bottom w:val="single" w:sz="4" w:space="0" w:color="auto"/>
              <w:right w:val="single" w:sz="4" w:space="0" w:color="auto"/>
            </w:tcBorders>
            <w:shd w:val="clear" w:color="000000" w:fill="FFFFFF"/>
            <w:hideMark/>
          </w:tcPr>
          <w:p w14:paraId="2210979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Гкал. на 1кв. метр общей площади</w:t>
            </w:r>
          </w:p>
        </w:tc>
        <w:tc>
          <w:tcPr>
            <w:tcW w:w="992" w:type="dxa"/>
            <w:tcBorders>
              <w:top w:val="nil"/>
              <w:left w:val="nil"/>
              <w:bottom w:val="single" w:sz="4" w:space="0" w:color="auto"/>
              <w:right w:val="single" w:sz="4" w:space="0" w:color="auto"/>
            </w:tcBorders>
            <w:shd w:val="clear" w:color="000000" w:fill="FFFFFF"/>
            <w:hideMark/>
          </w:tcPr>
          <w:p w14:paraId="71957E6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40.2</w:t>
            </w:r>
          </w:p>
        </w:tc>
        <w:tc>
          <w:tcPr>
            <w:tcW w:w="1276" w:type="dxa"/>
            <w:tcBorders>
              <w:top w:val="nil"/>
              <w:left w:val="nil"/>
              <w:bottom w:val="single" w:sz="4" w:space="0" w:color="000000"/>
              <w:right w:val="single" w:sz="4" w:space="0" w:color="000000"/>
            </w:tcBorders>
            <w:shd w:val="clear" w:color="000000" w:fill="C0C0C0"/>
            <w:noWrap/>
            <w:vAlign w:val="center"/>
            <w:hideMark/>
          </w:tcPr>
          <w:p w14:paraId="0F1F5F3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0,18</w:t>
            </w:r>
          </w:p>
        </w:tc>
        <w:tc>
          <w:tcPr>
            <w:tcW w:w="1275" w:type="dxa"/>
            <w:tcBorders>
              <w:top w:val="nil"/>
              <w:left w:val="nil"/>
              <w:bottom w:val="single" w:sz="4" w:space="0" w:color="000000"/>
              <w:right w:val="single" w:sz="4" w:space="0" w:color="000000"/>
            </w:tcBorders>
            <w:shd w:val="clear" w:color="000000" w:fill="C0C0C0"/>
            <w:noWrap/>
            <w:vAlign w:val="center"/>
            <w:hideMark/>
          </w:tcPr>
          <w:p w14:paraId="41943EA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5" w:type="dxa"/>
            <w:tcBorders>
              <w:top w:val="nil"/>
              <w:left w:val="nil"/>
              <w:bottom w:val="single" w:sz="4" w:space="0" w:color="000000"/>
              <w:right w:val="single" w:sz="4" w:space="0" w:color="000000"/>
            </w:tcBorders>
            <w:shd w:val="clear" w:color="000000" w:fill="C0C0C0"/>
            <w:noWrap/>
            <w:vAlign w:val="center"/>
            <w:hideMark/>
          </w:tcPr>
          <w:p w14:paraId="6F349B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7" w:type="dxa"/>
            <w:tcBorders>
              <w:top w:val="nil"/>
              <w:left w:val="nil"/>
              <w:bottom w:val="single" w:sz="4" w:space="0" w:color="000000"/>
              <w:right w:val="single" w:sz="4" w:space="0" w:color="000000"/>
            </w:tcBorders>
            <w:shd w:val="clear" w:color="000000" w:fill="C0C0C0"/>
            <w:noWrap/>
            <w:vAlign w:val="center"/>
            <w:hideMark/>
          </w:tcPr>
          <w:p w14:paraId="502C60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0,16</w:t>
            </w:r>
          </w:p>
        </w:tc>
        <w:tc>
          <w:tcPr>
            <w:tcW w:w="1276" w:type="dxa"/>
            <w:tcBorders>
              <w:top w:val="nil"/>
              <w:left w:val="nil"/>
              <w:bottom w:val="single" w:sz="4" w:space="0" w:color="000000"/>
              <w:right w:val="single" w:sz="4" w:space="0" w:color="000000"/>
            </w:tcBorders>
            <w:shd w:val="clear" w:color="000000" w:fill="C0C0C0"/>
            <w:noWrap/>
            <w:vAlign w:val="center"/>
            <w:hideMark/>
          </w:tcPr>
          <w:p w14:paraId="5174F8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0,14</w:t>
            </w:r>
          </w:p>
        </w:tc>
        <w:tc>
          <w:tcPr>
            <w:tcW w:w="1275" w:type="dxa"/>
            <w:tcBorders>
              <w:top w:val="nil"/>
              <w:left w:val="nil"/>
              <w:bottom w:val="single" w:sz="4" w:space="0" w:color="000000"/>
              <w:right w:val="single" w:sz="4" w:space="0" w:color="000000"/>
            </w:tcBorders>
            <w:shd w:val="clear" w:color="000000" w:fill="C0C0C0"/>
            <w:noWrap/>
            <w:vAlign w:val="center"/>
            <w:hideMark/>
          </w:tcPr>
          <w:p w14:paraId="0F694A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0,12</w:t>
            </w:r>
          </w:p>
        </w:tc>
      </w:tr>
      <w:tr w:rsidR="00996507" w:rsidRPr="00996507" w14:paraId="5695BD33"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DD3D8F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337AE9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Суммарное потребление тепловой энергии всеми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0A317A1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Гигакалория</w:t>
            </w:r>
          </w:p>
        </w:tc>
        <w:tc>
          <w:tcPr>
            <w:tcW w:w="992" w:type="dxa"/>
            <w:tcBorders>
              <w:top w:val="nil"/>
              <w:left w:val="nil"/>
              <w:bottom w:val="single" w:sz="4" w:space="0" w:color="auto"/>
              <w:right w:val="single" w:sz="4" w:space="0" w:color="auto"/>
            </w:tcBorders>
            <w:shd w:val="clear" w:color="000000" w:fill="FFFFFF"/>
            <w:hideMark/>
          </w:tcPr>
          <w:p w14:paraId="2724EC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40.2.1</w:t>
            </w:r>
          </w:p>
        </w:tc>
        <w:tc>
          <w:tcPr>
            <w:tcW w:w="1276" w:type="dxa"/>
            <w:tcBorders>
              <w:top w:val="nil"/>
              <w:left w:val="nil"/>
              <w:bottom w:val="single" w:sz="4" w:space="0" w:color="000000"/>
              <w:right w:val="single" w:sz="4" w:space="0" w:color="000000"/>
            </w:tcBorders>
            <w:shd w:val="clear" w:color="auto" w:fill="auto"/>
            <w:noWrap/>
            <w:vAlign w:val="center"/>
            <w:hideMark/>
          </w:tcPr>
          <w:p w14:paraId="4E963F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36 888,3</w:t>
            </w:r>
          </w:p>
        </w:tc>
        <w:tc>
          <w:tcPr>
            <w:tcW w:w="1275" w:type="dxa"/>
            <w:tcBorders>
              <w:top w:val="nil"/>
              <w:left w:val="nil"/>
              <w:bottom w:val="single" w:sz="4" w:space="0" w:color="000000"/>
              <w:right w:val="single" w:sz="4" w:space="0" w:color="000000"/>
            </w:tcBorders>
            <w:shd w:val="clear" w:color="auto" w:fill="auto"/>
            <w:noWrap/>
            <w:vAlign w:val="center"/>
            <w:hideMark/>
          </w:tcPr>
          <w:p w14:paraId="750877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36 331,0</w:t>
            </w:r>
          </w:p>
        </w:tc>
        <w:tc>
          <w:tcPr>
            <w:tcW w:w="1275" w:type="dxa"/>
            <w:tcBorders>
              <w:top w:val="nil"/>
              <w:left w:val="nil"/>
              <w:bottom w:val="single" w:sz="4" w:space="0" w:color="000000"/>
              <w:right w:val="single" w:sz="4" w:space="0" w:color="000000"/>
            </w:tcBorders>
            <w:shd w:val="clear" w:color="auto" w:fill="auto"/>
            <w:noWrap/>
            <w:vAlign w:val="center"/>
            <w:hideMark/>
          </w:tcPr>
          <w:p w14:paraId="60E06D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34 457,7</w:t>
            </w:r>
          </w:p>
        </w:tc>
        <w:tc>
          <w:tcPr>
            <w:tcW w:w="1277" w:type="dxa"/>
            <w:tcBorders>
              <w:top w:val="nil"/>
              <w:left w:val="nil"/>
              <w:bottom w:val="single" w:sz="4" w:space="0" w:color="000000"/>
              <w:right w:val="single" w:sz="4" w:space="0" w:color="000000"/>
            </w:tcBorders>
            <w:shd w:val="clear" w:color="auto" w:fill="auto"/>
            <w:noWrap/>
            <w:vAlign w:val="center"/>
            <w:hideMark/>
          </w:tcPr>
          <w:p w14:paraId="1CCB9C6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33 543,9</w:t>
            </w:r>
          </w:p>
        </w:tc>
        <w:tc>
          <w:tcPr>
            <w:tcW w:w="1276" w:type="dxa"/>
            <w:tcBorders>
              <w:top w:val="nil"/>
              <w:left w:val="nil"/>
              <w:bottom w:val="single" w:sz="4" w:space="0" w:color="000000"/>
              <w:right w:val="single" w:sz="4" w:space="0" w:color="000000"/>
            </w:tcBorders>
            <w:shd w:val="clear" w:color="auto" w:fill="auto"/>
            <w:noWrap/>
            <w:vAlign w:val="center"/>
            <w:hideMark/>
          </w:tcPr>
          <w:p w14:paraId="4A3BA3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29 465,0</w:t>
            </w:r>
          </w:p>
        </w:tc>
        <w:tc>
          <w:tcPr>
            <w:tcW w:w="1275" w:type="dxa"/>
            <w:tcBorders>
              <w:top w:val="nil"/>
              <w:left w:val="nil"/>
              <w:bottom w:val="single" w:sz="4" w:space="0" w:color="000000"/>
              <w:right w:val="single" w:sz="4" w:space="0" w:color="000000"/>
            </w:tcBorders>
            <w:shd w:val="clear" w:color="auto" w:fill="auto"/>
            <w:noWrap/>
            <w:vAlign w:val="center"/>
            <w:hideMark/>
          </w:tcPr>
          <w:p w14:paraId="6CF6E40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25 353,6</w:t>
            </w:r>
          </w:p>
        </w:tc>
      </w:tr>
      <w:tr w:rsidR="00996507" w:rsidRPr="00996507" w14:paraId="2E5E26AB"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988284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7D91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муниципальных бюджетных учреждений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773AD25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26A532D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40.2.2</w:t>
            </w:r>
          </w:p>
        </w:tc>
        <w:tc>
          <w:tcPr>
            <w:tcW w:w="1276" w:type="dxa"/>
            <w:tcBorders>
              <w:top w:val="nil"/>
              <w:left w:val="nil"/>
              <w:bottom w:val="single" w:sz="4" w:space="0" w:color="000000"/>
              <w:right w:val="single" w:sz="4" w:space="0" w:color="000000"/>
            </w:tcBorders>
            <w:shd w:val="clear" w:color="auto" w:fill="auto"/>
            <w:noWrap/>
            <w:vAlign w:val="center"/>
            <w:hideMark/>
          </w:tcPr>
          <w:p w14:paraId="2A9D5C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207 043,1</w:t>
            </w:r>
          </w:p>
        </w:tc>
        <w:tc>
          <w:tcPr>
            <w:tcW w:w="1275" w:type="dxa"/>
            <w:tcBorders>
              <w:top w:val="nil"/>
              <w:left w:val="nil"/>
              <w:bottom w:val="single" w:sz="4" w:space="0" w:color="000000"/>
              <w:right w:val="single" w:sz="4" w:space="0" w:color="000000"/>
            </w:tcBorders>
            <w:shd w:val="clear" w:color="auto" w:fill="auto"/>
            <w:noWrap/>
            <w:vAlign w:val="center"/>
            <w:hideMark/>
          </w:tcPr>
          <w:p w14:paraId="720091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208 019,2</w:t>
            </w:r>
          </w:p>
        </w:tc>
        <w:tc>
          <w:tcPr>
            <w:tcW w:w="1275" w:type="dxa"/>
            <w:tcBorders>
              <w:top w:val="nil"/>
              <w:left w:val="nil"/>
              <w:bottom w:val="single" w:sz="4" w:space="0" w:color="000000"/>
              <w:right w:val="single" w:sz="4" w:space="0" w:color="000000"/>
            </w:tcBorders>
            <w:shd w:val="clear" w:color="auto" w:fill="auto"/>
            <w:noWrap/>
            <w:vAlign w:val="center"/>
            <w:hideMark/>
          </w:tcPr>
          <w:p w14:paraId="1AEA42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208 834,3</w:t>
            </w:r>
          </w:p>
        </w:tc>
        <w:tc>
          <w:tcPr>
            <w:tcW w:w="1277" w:type="dxa"/>
            <w:tcBorders>
              <w:top w:val="nil"/>
              <w:left w:val="nil"/>
              <w:bottom w:val="single" w:sz="4" w:space="0" w:color="000000"/>
              <w:right w:val="single" w:sz="4" w:space="0" w:color="000000"/>
            </w:tcBorders>
            <w:shd w:val="clear" w:color="auto" w:fill="auto"/>
            <w:noWrap/>
            <w:vAlign w:val="center"/>
            <w:hideMark/>
          </w:tcPr>
          <w:p w14:paraId="27FD85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209 649,4</w:t>
            </w:r>
          </w:p>
        </w:tc>
        <w:tc>
          <w:tcPr>
            <w:tcW w:w="1276" w:type="dxa"/>
            <w:tcBorders>
              <w:top w:val="nil"/>
              <w:left w:val="nil"/>
              <w:bottom w:val="single" w:sz="4" w:space="0" w:color="000000"/>
              <w:right w:val="single" w:sz="4" w:space="0" w:color="000000"/>
            </w:tcBorders>
            <w:shd w:val="clear" w:color="auto" w:fill="auto"/>
            <w:noWrap/>
            <w:vAlign w:val="center"/>
            <w:hideMark/>
          </w:tcPr>
          <w:p w14:paraId="43EE7B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210 464,5</w:t>
            </w:r>
          </w:p>
        </w:tc>
        <w:tc>
          <w:tcPr>
            <w:tcW w:w="1275" w:type="dxa"/>
            <w:tcBorders>
              <w:top w:val="nil"/>
              <w:left w:val="nil"/>
              <w:bottom w:val="single" w:sz="4" w:space="0" w:color="000000"/>
              <w:right w:val="single" w:sz="4" w:space="0" w:color="000000"/>
            </w:tcBorders>
            <w:shd w:val="clear" w:color="auto" w:fill="auto"/>
            <w:noWrap/>
            <w:vAlign w:val="center"/>
            <w:hideMark/>
          </w:tcPr>
          <w:p w14:paraId="2F175D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211 279,6</w:t>
            </w:r>
          </w:p>
        </w:tc>
      </w:tr>
      <w:tr w:rsidR="00996507" w:rsidRPr="00996507" w14:paraId="035E9ECC" w14:textId="77777777" w:rsidTr="00996507">
        <w:trPr>
          <w:trHeight w:val="855"/>
        </w:trPr>
        <w:tc>
          <w:tcPr>
            <w:tcW w:w="1701" w:type="dxa"/>
            <w:vMerge/>
            <w:tcBorders>
              <w:top w:val="nil"/>
              <w:left w:val="single" w:sz="4" w:space="0" w:color="auto"/>
              <w:bottom w:val="single" w:sz="4" w:space="0" w:color="auto"/>
              <w:right w:val="single" w:sz="4" w:space="0" w:color="auto"/>
            </w:tcBorders>
            <w:vAlign w:val="center"/>
            <w:hideMark/>
          </w:tcPr>
          <w:p w14:paraId="6CFE451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1AE3EF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горячая вода</w:t>
            </w:r>
          </w:p>
        </w:tc>
        <w:tc>
          <w:tcPr>
            <w:tcW w:w="1151" w:type="dxa"/>
            <w:tcBorders>
              <w:top w:val="nil"/>
              <w:left w:val="nil"/>
              <w:bottom w:val="single" w:sz="4" w:space="0" w:color="auto"/>
              <w:right w:val="single" w:sz="4" w:space="0" w:color="auto"/>
            </w:tcBorders>
            <w:shd w:val="clear" w:color="000000" w:fill="FFFFFF"/>
            <w:hideMark/>
          </w:tcPr>
          <w:p w14:paraId="44B1F32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79CAEBC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40.3</w:t>
            </w:r>
          </w:p>
        </w:tc>
        <w:tc>
          <w:tcPr>
            <w:tcW w:w="1276" w:type="dxa"/>
            <w:tcBorders>
              <w:top w:val="nil"/>
              <w:left w:val="nil"/>
              <w:bottom w:val="single" w:sz="4" w:space="0" w:color="000000"/>
              <w:right w:val="single" w:sz="4" w:space="0" w:color="000000"/>
            </w:tcBorders>
            <w:shd w:val="clear" w:color="000000" w:fill="C0C0C0"/>
            <w:noWrap/>
            <w:vAlign w:val="center"/>
            <w:hideMark/>
          </w:tcPr>
          <w:p w14:paraId="78C3F06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0,03</w:t>
            </w:r>
          </w:p>
        </w:tc>
        <w:tc>
          <w:tcPr>
            <w:tcW w:w="1275" w:type="dxa"/>
            <w:tcBorders>
              <w:top w:val="nil"/>
              <w:left w:val="nil"/>
              <w:bottom w:val="single" w:sz="4" w:space="0" w:color="000000"/>
              <w:right w:val="single" w:sz="4" w:space="0" w:color="000000"/>
            </w:tcBorders>
            <w:shd w:val="clear" w:color="000000" w:fill="C0C0C0"/>
            <w:noWrap/>
            <w:vAlign w:val="center"/>
            <w:hideMark/>
          </w:tcPr>
          <w:p w14:paraId="0FE9B73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0,03</w:t>
            </w:r>
          </w:p>
        </w:tc>
        <w:tc>
          <w:tcPr>
            <w:tcW w:w="1275" w:type="dxa"/>
            <w:tcBorders>
              <w:top w:val="nil"/>
              <w:left w:val="nil"/>
              <w:bottom w:val="single" w:sz="4" w:space="0" w:color="000000"/>
              <w:right w:val="single" w:sz="4" w:space="0" w:color="000000"/>
            </w:tcBorders>
            <w:shd w:val="clear" w:color="000000" w:fill="C0C0C0"/>
            <w:noWrap/>
            <w:vAlign w:val="center"/>
            <w:hideMark/>
          </w:tcPr>
          <w:p w14:paraId="1425B9A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0,02</w:t>
            </w:r>
          </w:p>
        </w:tc>
        <w:tc>
          <w:tcPr>
            <w:tcW w:w="1277" w:type="dxa"/>
            <w:tcBorders>
              <w:top w:val="nil"/>
              <w:left w:val="nil"/>
              <w:bottom w:val="single" w:sz="4" w:space="0" w:color="000000"/>
              <w:right w:val="single" w:sz="4" w:space="0" w:color="000000"/>
            </w:tcBorders>
            <w:shd w:val="clear" w:color="000000" w:fill="C0C0C0"/>
            <w:noWrap/>
            <w:vAlign w:val="center"/>
            <w:hideMark/>
          </w:tcPr>
          <w:p w14:paraId="06510A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0,02</w:t>
            </w:r>
          </w:p>
        </w:tc>
        <w:tc>
          <w:tcPr>
            <w:tcW w:w="1276" w:type="dxa"/>
            <w:tcBorders>
              <w:top w:val="nil"/>
              <w:left w:val="nil"/>
              <w:bottom w:val="single" w:sz="4" w:space="0" w:color="000000"/>
              <w:right w:val="single" w:sz="4" w:space="0" w:color="000000"/>
            </w:tcBorders>
            <w:shd w:val="clear" w:color="000000" w:fill="C0C0C0"/>
            <w:noWrap/>
            <w:vAlign w:val="center"/>
            <w:hideMark/>
          </w:tcPr>
          <w:p w14:paraId="6E1626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0,02</w:t>
            </w:r>
          </w:p>
        </w:tc>
        <w:tc>
          <w:tcPr>
            <w:tcW w:w="1275" w:type="dxa"/>
            <w:tcBorders>
              <w:top w:val="nil"/>
              <w:left w:val="nil"/>
              <w:bottom w:val="single" w:sz="4" w:space="0" w:color="000000"/>
              <w:right w:val="single" w:sz="4" w:space="0" w:color="000000"/>
            </w:tcBorders>
            <w:shd w:val="clear" w:color="000000" w:fill="C0C0C0"/>
            <w:noWrap/>
            <w:vAlign w:val="center"/>
            <w:hideMark/>
          </w:tcPr>
          <w:p w14:paraId="62D43E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0,01</w:t>
            </w:r>
          </w:p>
        </w:tc>
      </w:tr>
      <w:tr w:rsidR="00996507" w:rsidRPr="00996507" w14:paraId="51AE62E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FFEB28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914BF2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горячей воды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3BF57B7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538EE86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40.3.1</w:t>
            </w:r>
          </w:p>
        </w:tc>
        <w:tc>
          <w:tcPr>
            <w:tcW w:w="1276" w:type="dxa"/>
            <w:tcBorders>
              <w:top w:val="nil"/>
              <w:left w:val="nil"/>
              <w:bottom w:val="single" w:sz="4" w:space="0" w:color="000000"/>
              <w:right w:val="single" w:sz="4" w:space="0" w:color="000000"/>
            </w:tcBorders>
            <w:shd w:val="clear" w:color="auto" w:fill="auto"/>
            <w:noWrap/>
            <w:vAlign w:val="center"/>
            <w:hideMark/>
          </w:tcPr>
          <w:p w14:paraId="2C75FB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2 987,8</w:t>
            </w:r>
          </w:p>
        </w:tc>
        <w:tc>
          <w:tcPr>
            <w:tcW w:w="1275" w:type="dxa"/>
            <w:tcBorders>
              <w:top w:val="nil"/>
              <w:left w:val="nil"/>
              <w:bottom w:val="single" w:sz="4" w:space="0" w:color="000000"/>
              <w:right w:val="single" w:sz="4" w:space="0" w:color="000000"/>
            </w:tcBorders>
            <w:shd w:val="clear" w:color="auto" w:fill="auto"/>
            <w:noWrap/>
            <w:vAlign w:val="center"/>
            <w:hideMark/>
          </w:tcPr>
          <w:p w14:paraId="453D45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3 079,9</w:t>
            </w:r>
          </w:p>
        </w:tc>
        <w:tc>
          <w:tcPr>
            <w:tcW w:w="1275" w:type="dxa"/>
            <w:tcBorders>
              <w:top w:val="nil"/>
              <w:left w:val="nil"/>
              <w:bottom w:val="single" w:sz="4" w:space="0" w:color="000000"/>
              <w:right w:val="single" w:sz="4" w:space="0" w:color="000000"/>
            </w:tcBorders>
            <w:shd w:val="clear" w:color="auto" w:fill="auto"/>
            <w:noWrap/>
            <w:vAlign w:val="center"/>
            <w:hideMark/>
          </w:tcPr>
          <w:p w14:paraId="5A9378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1 956,3</w:t>
            </w:r>
          </w:p>
        </w:tc>
        <w:tc>
          <w:tcPr>
            <w:tcW w:w="1277" w:type="dxa"/>
            <w:tcBorders>
              <w:top w:val="nil"/>
              <w:left w:val="nil"/>
              <w:bottom w:val="single" w:sz="4" w:space="0" w:color="000000"/>
              <w:right w:val="single" w:sz="4" w:space="0" w:color="000000"/>
            </w:tcBorders>
            <w:shd w:val="clear" w:color="auto" w:fill="auto"/>
            <w:noWrap/>
            <w:vAlign w:val="center"/>
            <w:hideMark/>
          </w:tcPr>
          <w:p w14:paraId="66795C8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1 792,4</w:t>
            </w:r>
          </w:p>
        </w:tc>
        <w:tc>
          <w:tcPr>
            <w:tcW w:w="1276" w:type="dxa"/>
            <w:tcBorders>
              <w:top w:val="nil"/>
              <w:left w:val="nil"/>
              <w:bottom w:val="single" w:sz="4" w:space="0" w:color="000000"/>
              <w:right w:val="single" w:sz="4" w:space="0" w:color="000000"/>
            </w:tcBorders>
            <w:shd w:val="clear" w:color="auto" w:fill="auto"/>
            <w:noWrap/>
            <w:vAlign w:val="center"/>
            <w:hideMark/>
          </w:tcPr>
          <w:p w14:paraId="58E0B8F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1 621,7</w:t>
            </w:r>
          </w:p>
        </w:tc>
        <w:tc>
          <w:tcPr>
            <w:tcW w:w="1275" w:type="dxa"/>
            <w:tcBorders>
              <w:top w:val="nil"/>
              <w:left w:val="nil"/>
              <w:bottom w:val="single" w:sz="4" w:space="0" w:color="000000"/>
              <w:right w:val="single" w:sz="4" w:space="0" w:color="000000"/>
            </w:tcBorders>
            <w:shd w:val="clear" w:color="auto" w:fill="auto"/>
            <w:noWrap/>
            <w:vAlign w:val="center"/>
            <w:hideMark/>
          </w:tcPr>
          <w:p w14:paraId="402475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1 444,4</w:t>
            </w:r>
          </w:p>
        </w:tc>
      </w:tr>
      <w:tr w:rsidR="00996507" w:rsidRPr="00996507" w14:paraId="11A04924" w14:textId="77777777" w:rsidTr="00996507">
        <w:trPr>
          <w:trHeight w:val="855"/>
        </w:trPr>
        <w:tc>
          <w:tcPr>
            <w:tcW w:w="1701" w:type="dxa"/>
            <w:vMerge/>
            <w:tcBorders>
              <w:top w:val="nil"/>
              <w:left w:val="single" w:sz="4" w:space="0" w:color="auto"/>
              <w:bottom w:val="single" w:sz="4" w:space="0" w:color="auto"/>
              <w:right w:val="single" w:sz="4" w:space="0" w:color="auto"/>
            </w:tcBorders>
            <w:vAlign w:val="center"/>
            <w:hideMark/>
          </w:tcPr>
          <w:p w14:paraId="2A162C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FB7691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холодная вода</w:t>
            </w:r>
          </w:p>
        </w:tc>
        <w:tc>
          <w:tcPr>
            <w:tcW w:w="1151" w:type="dxa"/>
            <w:tcBorders>
              <w:top w:val="nil"/>
              <w:left w:val="nil"/>
              <w:bottom w:val="single" w:sz="4" w:space="0" w:color="auto"/>
              <w:right w:val="single" w:sz="4" w:space="0" w:color="auto"/>
            </w:tcBorders>
            <w:shd w:val="clear" w:color="000000" w:fill="FFFFFF"/>
            <w:hideMark/>
          </w:tcPr>
          <w:p w14:paraId="2A46C78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786281A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40.4</w:t>
            </w:r>
          </w:p>
        </w:tc>
        <w:tc>
          <w:tcPr>
            <w:tcW w:w="1276" w:type="dxa"/>
            <w:tcBorders>
              <w:top w:val="nil"/>
              <w:left w:val="nil"/>
              <w:bottom w:val="single" w:sz="4" w:space="0" w:color="000000"/>
              <w:right w:val="single" w:sz="4" w:space="0" w:color="000000"/>
            </w:tcBorders>
            <w:shd w:val="clear" w:color="000000" w:fill="C0C0C0"/>
            <w:noWrap/>
            <w:vAlign w:val="center"/>
            <w:hideMark/>
          </w:tcPr>
          <w:p w14:paraId="7613DEA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1,13</w:t>
            </w:r>
          </w:p>
        </w:tc>
        <w:tc>
          <w:tcPr>
            <w:tcW w:w="1275" w:type="dxa"/>
            <w:tcBorders>
              <w:top w:val="nil"/>
              <w:left w:val="nil"/>
              <w:bottom w:val="single" w:sz="4" w:space="0" w:color="000000"/>
              <w:right w:val="single" w:sz="4" w:space="0" w:color="000000"/>
            </w:tcBorders>
            <w:shd w:val="clear" w:color="000000" w:fill="C0C0C0"/>
            <w:noWrap/>
            <w:vAlign w:val="center"/>
            <w:hideMark/>
          </w:tcPr>
          <w:p w14:paraId="7352369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1,09</w:t>
            </w:r>
          </w:p>
        </w:tc>
        <w:tc>
          <w:tcPr>
            <w:tcW w:w="1275" w:type="dxa"/>
            <w:tcBorders>
              <w:top w:val="nil"/>
              <w:left w:val="nil"/>
              <w:bottom w:val="single" w:sz="4" w:space="0" w:color="000000"/>
              <w:right w:val="single" w:sz="4" w:space="0" w:color="000000"/>
            </w:tcBorders>
            <w:shd w:val="clear" w:color="000000" w:fill="C0C0C0"/>
            <w:noWrap/>
            <w:vAlign w:val="center"/>
            <w:hideMark/>
          </w:tcPr>
          <w:p w14:paraId="34050B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1,02</w:t>
            </w:r>
          </w:p>
        </w:tc>
        <w:tc>
          <w:tcPr>
            <w:tcW w:w="1277" w:type="dxa"/>
            <w:tcBorders>
              <w:top w:val="nil"/>
              <w:left w:val="nil"/>
              <w:bottom w:val="single" w:sz="4" w:space="0" w:color="000000"/>
              <w:right w:val="single" w:sz="4" w:space="0" w:color="000000"/>
            </w:tcBorders>
            <w:shd w:val="clear" w:color="000000" w:fill="C0C0C0"/>
            <w:noWrap/>
            <w:vAlign w:val="center"/>
            <w:hideMark/>
          </w:tcPr>
          <w:p w14:paraId="40860DF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0,94</w:t>
            </w:r>
          </w:p>
        </w:tc>
        <w:tc>
          <w:tcPr>
            <w:tcW w:w="1276" w:type="dxa"/>
            <w:tcBorders>
              <w:top w:val="nil"/>
              <w:left w:val="nil"/>
              <w:bottom w:val="single" w:sz="4" w:space="0" w:color="000000"/>
              <w:right w:val="single" w:sz="4" w:space="0" w:color="000000"/>
            </w:tcBorders>
            <w:shd w:val="clear" w:color="000000" w:fill="C0C0C0"/>
            <w:noWrap/>
            <w:vAlign w:val="center"/>
            <w:hideMark/>
          </w:tcPr>
          <w:p w14:paraId="71D1F26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0,86</w:t>
            </w:r>
          </w:p>
        </w:tc>
        <w:tc>
          <w:tcPr>
            <w:tcW w:w="1275" w:type="dxa"/>
            <w:tcBorders>
              <w:top w:val="nil"/>
              <w:left w:val="nil"/>
              <w:bottom w:val="single" w:sz="4" w:space="0" w:color="000000"/>
              <w:right w:val="single" w:sz="4" w:space="0" w:color="000000"/>
            </w:tcBorders>
            <w:shd w:val="clear" w:color="000000" w:fill="C0C0C0"/>
            <w:noWrap/>
            <w:vAlign w:val="center"/>
            <w:hideMark/>
          </w:tcPr>
          <w:p w14:paraId="1E4D2C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0,78</w:t>
            </w:r>
          </w:p>
        </w:tc>
      </w:tr>
      <w:tr w:rsidR="00996507" w:rsidRPr="00996507" w14:paraId="3C3E9499" w14:textId="77777777" w:rsidTr="00996507">
        <w:trPr>
          <w:trHeight w:val="855"/>
        </w:trPr>
        <w:tc>
          <w:tcPr>
            <w:tcW w:w="1701" w:type="dxa"/>
            <w:vMerge/>
            <w:tcBorders>
              <w:top w:val="nil"/>
              <w:left w:val="single" w:sz="4" w:space="0" w:color="auto"/>
              <w:bottom w:val="single" w:sz="4" w:space="0" w:color="auto"/>
              <w:right w:val="single" w:sz="4" w:space="0" w:color="auto"/>
            </w:tcBorders>
            <w:vAlign w:val="center"/>
            <w:hideMark/>
          </w:tcPr>
          <w:p w14:paraId="4D22B01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6C9225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холодной воды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2D36425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159CA17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40.4.1</w:t>
            </w:r>
          </w:p>
        </w:tc>
        <w:tc>
          <w:tcPr>
            <w:tcW w:w="1276" w:type="dxa"/>
            <w:tcBorders>
              <w:top w:val="nil"/>
              <w:left w:val="nil"/>
              <w:bottom w:val="single" w:sz="4" w:space="0" w:color="000000"/>
              <w:right w:val="single" w:sz="4" w:space="0" w:color="000000"/>
            </w:tcBorders>
            <w:shd w:val="clear" w:color="auto" w:fill="auto"/>
            <w:noWrap/>
            <w:vAlign w:val="center"/>
            <w:hideMark/>
          </w:tcPr>
          <w:p w14:paraId="34EADDC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106 698,0</w:t>
            </w:r>
          </w:p>
        </w:tc>
        <w:tc>
          <w:tcPr>
            <w:tcW w:w="1275" w:type="dxa"/>
            <w:tcBorders>
              <w:top w:val="nil"/>
              <w:left w:val="nil"/>
              <w:bottom w:val="single" w:sz="4" w:space="0" w:color="000000"/>
              <w:right w:val="single" w:sz="4" w:space="0" w:color="000000"/>
            </w:tcBorders>
            <w:shd w:val="clear" w:color="auto" w:fill="auto"/>
            <w:noWrap/>
            <w:vAlign w:val="center"/>
            <w:hideMark/>
          </w:tcPr>
          <w:p w14:paraId="314AA7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104 670,7</w:t>
            </w:r>
          </w:p>
        </w:tc>
        <w:tc>
          <w:tcPr>
            <w:tcW w:w="1275" w:type="dxa"/>
            <w:tcBorders>
              <w:top w:val="nil"/>
              <w:left w:val="nil"/>
              <w:bottom w:val="single" w:sz="4" w:space="0" w:color="000000"/>
              <w:right w:val="single" w:sz="4" w:space="0" w:color="000000"/>
            </w:tcBorders>
            <w:shd w:val="clear" w:color="auto" w:fill="auto"/>
            <w:noWrap/>
            <w:vAlign w:val="center"/>
            <w:hideMark/>
          </w:tcPr>
          <w:p w14:paraId="180331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99 770,3</w:t>
            </w:r>
          </w:p>
        </w:tc>
        <w:tc>
          <w:tcPr>
            <w:tcW w:w="1277" w:type="dxa"/>
            <w:tcBorders>
              <w:top w:val="nil"/>
              <w:left w:val="nil"/>
              <w:bottom w:val="single" w:sz="4" w:space="0" w:color="000000"/>
              <w:right w:val="single" w:sz="4" w:space="0" w:color="000000"/>
            </w:tcBorders>
            <w:shd w:val="clear" w:color="auto" w:fill="auto"/>
            <w:noWrap/>
            <w:vAlign w:val="center"/>
            <w:hideMark/>
          </w:tcPr>
          <w:p w14:paraId="4D85C4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93 601,4</w:t>
            </w:r>
          </w:p>
        </w:tc>
        <w:tc>
          <w:tcPr>
            <w:tcW w:w="1276" w:type="dxa"/>
            <w:tcBorders>
              <w:top w:val="nil"/>
              <w:left w:val="nil"/>
              <w:bottom w:val="single" w:sz="4" w:space="0" w:color="000000"/>
              <w:right w:val="single" w:sz="4" w:space="0" w:color="000000"/>
            </w:tcBorders>
            <w:shd w:val="clear" w:color="auto" w:fill="auto"/>
            <w:noWrap/>
            <w:vAlign w:val="center"/>
            <w:hideMark/>
          </w:tcPr>
          <w:p w14:paraId="1FBF62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87 167,9</w:t>
            </w:r>
          </w:p>
        </w:tc>
        <w:tc>
          <w:tcPr>
            <w:tcW w:w="1275" w:type="dxa"/>
            <w:tcBorders>
              <w:top w:val="nil"/>
              <w:left w:val="nil"/>
              <w:bottom w:val="single" w:sz="4" w:space="0" w:color="000000"/>
              <w:right w:val="single" w:sz="4" w:space="0" w:color="000000"/>
            </w:tcBorders>
            <w:shd w:val="clear" w:color="auto" w:fill="auto"/>
            <w:noWrap/>
            <w:vAlign w:val="center"/>
            <w:hideMark/>
          </w:tcPr>
          <w:p w14:paraId="0C3DDC7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80 474,2</w:t>
            </w:r>
          </w:p>
        </w:tc>
      </w:tr>
      <w:tr w:rsidR="00996507" w:rsidRPr="00996507" w14:paraId="39764CC4"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47D778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02CA1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природный газ</w:t>
            </w:r>
          </w:p>
        </w:tc>
        <w:tc>
          <w:tcPr>
            <w:tcW w:w="1151" w:type="dxa"/>
            <w:tcBorders>
              <w:top w:val="nil"/>
              <w:left w:val="nil"/>
              <w:bottom w:val="single" w:sz="4" w:space="0" w:color="auto"/>
              <w:right w:val="single" w:sz="4" w:space="0" w:color="auto"/>
            </w:tcBorders>
            <w:shd w:val="clear" w:color="000000" w:fill="FFFFFF"/>
            <w:hideMark/>
          </w:tcPr>
          <w:p w14:paraId="3B29DCA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500320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40.5</w:t>
            </w:r>
          </w:p>
        </w:tc>
        <w:tc>
          <w:tcPr>
            <w:tcW w:w="1276" w:type="dxa"/>
            <w:tcBorders>
              <w:top w:val="nil"/>
              <w:left w:val="nil"/>
              <w:bottom w:val="single" w:sz="4" w:space="0" w:color="000000"/>
              <w:right w:val="single" w:sz="4" w:space="0" w:color="000000"/>
            </w:tcBorders>
            <w:shd w:val="clear" w:color="000000" w:fill="C0C0C0"/>
            <w:noWrap/>
            <w:vAlign w:val="center"/>
            <w:hideMark/>
          </w:tcPr>
          <w:p w14:paraId="230E376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73706F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B833E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34F805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9E5A6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A4378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r>
      <w:tr w:rsidR="00996507" w:rsidRPr="00996507" w14:paraId="06B0CCDF"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A6BC41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34F35E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потребленного природного газа всеми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70D3763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7B6B2EF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40.5.1</w:t>
            </w:r>
          </w:p>
        </w:tc>
        <w:tc>
          <w:tcPr>
            <w:tcW w:w="1276" w:type="dxa"/>
            <w:tcBorders>
              <w:top w:val="nil"/>
              <w:left w:val="nil"/>
              <w:bottom w:val="single" w:sz="4" w:space="0" w:color="000000"/>
              <w:right w:val="single" w:sz="4" w:space="0" w:color="000000"/>
            </w:tcBorders>
            <w:shd w:val="clear" w:color="auto" w:fill="auto"/>
            <w:noWrap/>
            <w:vAlign w:val="center"/>
            <w:hideMark/>
          </w:tcPr>
          <w:p w14:paraId="59F688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1D733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17DC03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6E76CD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5EB97A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0C9336F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bl>
    <w:p w14:paraId="2763FBCC" w14:textId="77777777" w:rsidR="008D6DF6" w:rsidRPr="0013502F" w:rsidRDefault="008D6DF6" w:rsidP="00527456">
      <w:pPr>
        <w:spacing w:after="0" w:line="240" w:lineRule="auto"/>
        <w:ind w:firstLine="709"/>
        <w:rPr>
          <w:lang w:eastAsia="ru-RU"/>
        </w:rPr>
      </w:pPr>
    </w:p>
    <w:p w14:paraId="41BF8B97" w14:textId="77777777" w:rsidR="008D6DF6" w:rsidRPr="0013502F" w:rsidRDefault="008D6DF6" w:rsidP="00527456">
      <w:pPr>
        <w:spacing w:after="0" w:line="240" w:lineRule="auto"/>
        <w:ind w:firstLine="709"/>
        <w:rPr>
          <w:lang w:eastAsia="ru-RU"/>
        </w:rPr>
      </w:pPr>
    </w:p>
    <w:p w14:paraId="6C5AE875" w14:textId="77777777" w:rsidR="008D6DF6" w:rsidRPr="0013502F" w:rsidRDefault="008D6DF6" w:rsidP="00527456">
      <w:pPr>
        <w:spacing w:after="0" w:line="240" w:lineRule="auto"/>
        <w:ind w:firstLine="709"/>
        <w:rPr>
          <w:lang w:eastAsia="ru-RU"/>
        </w:rPr>
      </w:pPr>
    </w:p>
    <w:p w14:paraId="7694D114" w14:textId="77777777" w:rsidR="008D6DF6" w:rsidRPr="0013502F" w:rsidRDefault="008D6DF6" w:rsidP="00527456">
      <w:pPr>
        <w:spacing w:after="0" w:line="240" w:lineRule="auto"/>
        <w:ind w:firstLine="709"/>
        <w:rPr>
          <w:lang w:eastAsia="ru-RU"/>
        </w:rPr>
      </w:pPr>
    </w:p>
    <w:p w14:paraId="4625E0C7" w14:textId="77777777" w:rsidR="008D6DF6" w:rsidRPr="0013502F" w:rsidRDefault="008D6DF6" w:rsidP="00527456">
      <w:pPr>
        <w:spacing w:after="0" w:line="240" w:lineRule="auto"/>
        <w:ind w:firstLine="709"/>
        <w:rPr>
          <w:lang w:eastAsia="ru-RU"/>
        </w:rPr>
      </w:pPr>
    </w:p>
    <w:p w14:paraId="362D1D84" w14:textId="77777777" w:rsidR="00BE476E" w:rsidRPr="0013502F" w:rsidRDefault="00BE476E" w:rsidP="00527456">
      <w:pPr>
        <w:pStyle w:val="1"/>
        <w:spacing w:before="0" w:line="240" w:lineRule="auto"/>
        <w:ind w:firstLine="709"/>
        <w:jc w:val="both"/>
        <w:rPr>
          <w:rFonts w:ascii="Times New Roman" w:eastAsia="Calibri" w:hAnsi="Times New Roman" w:cs="Times New Roman"/>
          <w:color w:val="auto"/>
          <w:lang w:eastAsia="ru-RU"/>
        </w:rPr>
        <w:sectPr w:rsidR="00BE476E" w:rsidRPr="0013502F" w:rsidSect="00AA7E3E">
          <w:pgSz w:w="16838" w:h="11906" w:orient="landscape"/>
          <w:pgMar w:top="1134" w:right="851" w:bottom="851" w:left="1134" w:header="709" w:footer="709" w:gutter="0"/>
          <w:cols w:space="708"/>
          <w:docGrid w:linePitch="360"/>
        </w:sectPr>
      </w:pPr>
    </w:p>
    <w:p w14:paraId="7BD22804" w14:textId="77777777" w:rsidR="00EB4435" w:rsidRPr="0013502F" w:rsidRDefault="00EB4435" w:rsidP="00527456">
      <w:pPr>
        <w:pStyle w:val="1"/>
        <w:spacing w:before="0" w:line="240" w:lineRule="auto"/>
        <w:ind w:firstLine="709"/>
        <w:jc w:val="both"/>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lastRenderedPageBreak/>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14:paraId="48562434" w14:textId="77777777" w:rsidR="00EB4435" w:rsidRPr="0013502F" w:rsidRDefault="00EB4435" w:rsidP="00527456">
      <w:pPr>
        <w:spacing w:after="0" w:line="240" w:lineRule="auto"/>
        <w:ind w:firstLine="709"/>
        <w:jc w:val="center"/>
        <w:rPr>
          <w:rFonts w:ascii="Times New Roman" w:eastAsia="Calibri" w:hAnsi="Times New Roman" w:cs="Times New Roman"/>
          <w:sz w:val="28"/>
          <w:szCs w:val="28"/>
        </w:rPr>
      </w:pPr>
    </w:p>
    <w:p w14:paraId="2BB7B762" w14:textId="77777777" w:rsidR="00D95B29"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14:paraId="4202F1EF" w14:textId="77777777" w:rsidR="00C746D6" w:rsidRPr="0013502F" w:rsidRDefault="00C746D6"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60834AC"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целях реализации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продолжена работа по развитию</w:t>
      </w:r>
      <w:r w:rsidRPr="0013502F">
        <w:rPr>
          <w:rFonts w:ascii="Times New Roman" w:eastAsia="Calibri" w:hAnsi="Times New Roman" w:cs="Times New Roman"/>
        </w:rPr>
        <w:t xml:space="preserve"> </w:t>
      </w:r>
      <w:r w:rsidRPr="0013502F">
        <w:rPr>
          <w:rFonts w:ascii="Times New Roman" w:eastAsia="Calibri" w:hAnsi="Times New Roman" w:cs="Times New Roman"/>
          <w:sz w:val="28"/>
          <w:szCs w:val="28"/>
          <w:lang w:eastAsia="ru-RU"/>
        </w:rPr>
        <w:t>и продвижению Официального портала органов местного самоуправления города Ханты-Мансийска (далее – Официальный портал).</w:t>
      </w:r>
    </w:p>
    <w:p w14:paraId="03D94B9B" w14:textId="77777777" w:rsidR="00887BD8" w:rsidRPr="0013502F" w:rsidRDefault="00887BD8" w:rsidP="0052745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2016 году по сравнению в 2015 годом практически в 2,5 раза увеличилось количество обращений граждан в органы Администрации посредством интерактивного сервиса «Улучшим наш город». По большинству заявок были приняты необходимые меры (2013 год – 112, 2014 год – 34, 2015 год –</w:t>
      </w:r>
      <w:r w:rsidR="00527456">
        <w:rPr>
          <w:rFonts w:ascii="Times New Roman" w:eastAsia="Calibri" w:hAnsi="Times New Roman" w:cs="Times New Roman"/>
          <w:sz w:val="28"/>
          <w:szCs w:val="28"/>
          <w:lang w:eastAsia="ru-RU"/>
        </w:rPr>
        <w:t xml:space="preserve"> 110, 2016 год – 262) (Рисунок </w:t>
      </w:r>
      <w:r w:rsidRPr="0013502F">
        <w:rPr>
          <w:rFonts w:ascii="Times New Roman" w:eastAsia="Calibri" w:hAnsi="Times New Roman" w:cs="Times New Roman"/>
          <w:sz w:val="28"/>
          <w:szCs w:val="28"/>
          <w:lang w:eastAsia="ru-RU"/>
        </w:rPr>
        <w:t>9).</w:t>
      </w:r>
    </w:p>
    <w:p w14:paraId="423637B9"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350499D0" w14:textId="77777777" w:rsidR="00ED543A" w:rsidRPr="0013502F" w:rsidRDefault="00527456" w:rsidP="00527456">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9</w:t>
      </w:r>
    </w:p>
    <w:p w14:paraId="0C8D7FBB" w14:textId="77777777" w:rsidR="00887BD8" w:rsidRDefault="00887BD8" w:rsidP="00527456">
      <w:pPr>
        <w:spacing w:after="0" w:line="240" w:lineRule="auto"/>
        <w:ind w:firstLine="567"/>
        <w:jc w:val="center"/>
        <w:rPr>
          <w:rFonts w:ascii="Times New Roman" w:eastAsia="Calibri" w:hAnsi="Times New Roman" w:cs="Times New Roman"/>
          <w:sz w:val="24"/>
          <w:szCs w:val="24"/>
          <w:lang w:eastAsia="ru-RU"/>
        </w:rPr>
      </w:pPr>
      <w:r w:rsidRPr="0013502F">
        <w:rPr>
          <w:rFonts w:ascii="Times New Roman" w:eastAsia="Calibri" w:hAnsi="Times New Roman" w:cs="Times New Roman"/>
          <w:sz w:val="24"/>
          <w:szCs w:val="24"/>
          <w:lang w:eastAsia="ru-RU"/>
        </w:rPr>
        <w:t>Улучшим наш город</w:t>
      </w:r>
    </w:p>
    <w:p w14:paraId="2B69E122" w14:textId="77777777" w:rsidR="00C746D6" w:rsidRPr="0013502F" w:rsidRDefault="00C746D6" w:rsidP="00527456">
      <w:pPr>
        <w:spacing w:after="0" w:line="240" w:lineRule="auto"/>
        <w:ind w:firstLine="567"/>
        <w:jc w:val="center"/>
        <w:rPr>
          <w:rFonts w:ascii="Times New Roman" w:eastAsia="Calibri" w:hAnsi="Times New Roman" w:cs="Times New Roman"/>
          <w:sz w:val="24"/>
          <w:szCs w:val="24"/>
          <w:lang w:eastAsia="ru-RU"/>
        </w:rPr>
      </w:pPr>
    </w:p>
    <w:p w14:paraId="17EE91AC" w14:textId="77777777" w:rsidR="00ED543A" w:rsidRPr="0013502F" w:rsidRDefault="00887BD8" w:rsidP="00527456">
      <w:pPr>
        <w:widowControl w:val="0"/>
        <w:shd w:val="clear" w:color="auto" w:fill="FFFFFF"/>
        <w:spacing w:after="0" w:line="240" w:lineRule="auto"/>
        <w:jc w:val="center"/>
        <w:rPr>
          <w:rFonts w:ascii="Times New Roman" w:eastAsia="Calibri" w:hAnsi="Times New Roman" w:cs="Times New Roman"/>
          <w:sz w:val="28"/>
          <w:szCs w:val="28"/>
          <w:lang w:eastAsia="ru-RU"/>
        </w:rPr>
      </w:pPr>
      <w:r w:rsidRPr="0013502F">
        <w:rPr>
          <w:rFonts w:ascii="Times New Roman" w:hAnsi="Times New Roman" w:cs="Times New Roman"/>
          <w:noProof/>
          <w:lang w:eastAsia="ru-RU"/>
        </w:rPr>
        <w:drawing>
          <wp:inline distT="0" distB="0" distL="0" distR="0" wp14:anchorId="450F8A3E" wp14:editId="00373AFA">
            <wp:extent cx="3924300" cy="1689100"/>
            <wp:effectExtent l="0" t="0" r="0" b="63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572F6E" w14:textId="77777777" w:rsidR="003D2F8B" w:rsidRPr="0013502F" w:rsidRDefault="003D2F8B" w:rsidP="0052745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p>
    <w:p w14:paraId="49C34E6D" w14:textId="77777777" w:rsidR="00887BD8" w:rsidRPr="0013502F" w:rsidRDefault="00887BD8" w:rsidP="0052745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В 2016 году на 43 % по сравнению с 2015 годом увеличилось число горожан, подписанных на бесплатную СМС-рассылку о проводимых мероприятиях, публичных слушаниях, актированных днях (2013 год – 308, 2014 год – 964, 2015 год – 1566, 2016 год – 2240 (Рисунок </w:t>
      </w:r>
      <w:r w:rsidR="00527456">
        <w:rPr>
          <w:rFonts w:ascii="Times New Roman" w:eastAsia="Calibri" w:hAnsi="Times New Roman" w:cs="Times New Roman"/>
          <w:sz w:val="28"/>
          <w:szCs w:val="28"/>
          <w:lang w:eastAsia="ru-RU"/>
        </w:rPr>
        <w:t>1</w:t>
      </w:r>
      <w:r w:rsidRPr="0013502F">
        <w:rPr>
          <w:rFonts w:ascii="Times New Roman" w:eastAsia="Calibri" w:hAnsi="Times New Roman" w:cs="Times New Roman"/>
          <w:sz w:val="28"/>
          <w:szCs w:val="28"/>
          <w:lang w:eastAsia="ru-RU"/>
        </w:rPr>
        <w:t>0).</w:t>
      </w:r>
    </w:p>
    <w:p w14:paraId="64A47FAA" w14:textId="77777777" w:rsidR="00887BD8" w:rsidRDefault="00887BD8" w:rsidP="00527456">
      <w:pPr>
        <w:spacing w:after="0" w:line="240" w:lineRule="auto"/>
        <w:ind w:firstLine="709"/>
        <w:jc w:val="right"/>
        <w:rPr>
          <w:rFonts w:ascii="Times New Roman" w:eastAsia="Calibri" w:hAnsi="Times New Roman" w:cs="Times New Roman"/>
          <w:sz w:val="28"/>
          <w:szCs w:val="28"/>
          <w:lang w:eastAsia="ru-RU"/>
        </w:rPr>
      </w:pPr>
    </w:p>
    <w:p w14:paraId="15C29552"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64E7283A"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12FF372D"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63F487B9"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37079DE6"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3A41444A"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74E5AC83" w14:textId="77777777" w:rsidR="00C746D6" w:rsidRPr="0013502F" w:rsidRDefault="00C746D6" w:rsidP="00527456">
      <w:pPr>
        <w:spacing w:after="0" w:line="240" w:lineRule="auto"/>
        <w:ind w:firstLine="709"/>
        <w:jc w:val="right"/>
        <w:rPr>
          <w:rFonts w:ascii="Times New Roman" w:eastAsia="Calibri" w:hAnsi="Times New Roman" w:cs="Times New Roman"/>
          <w:sz w:val="28"/>
          <w:szCs w:val="28"/>
          <w:lang w:eastAsia="ru-RU"/>
        </w:rPr>
      </w:pPr>
    </w:p>
    <w:p w14:paraId="2A18116E" w14:textId="77777777" w:rsidR="00887BD8" w:rsidRPr="0013502F" w:rsidRDefault="00527456" w:rsidP="00527456">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1</w:t>
      </w:r>
      <w:r w:rsidR="00887BD8" w:rsidRPr="0013502F">
        <w:rPr>
          <w:rFonts w:ascii="Times New Roman" w:eastAsia="Calibri" w:hAnsi="Times New Roman" w:cs="Times New Roman"/>
          <w:sz w:val="28"/>
          <w:szCs w:val="28"/>
          <w:lang w:eastAsia="ru-RU"/>
        </w:rPr>
        <w:t>0</w:t>
      </w:r>
    </w:p>
    <w:p w14:paraId="78617BE7" w14:textId="77777777" w:rsidR="00887BD8" w:rsidRDefault="00887BD8" w:rsidP="00527456">
      <w:pPr>
        <w:spacing w:after="0" w:line="240" w:lineRule="auto"/>
        <w:ind w:firstLine="567"/>
        <w:jc w:val="center"/>
        <w:rPr>
          <w:rFonts w:ascii="Times New Roman" w:eastAsia="Calibri" w:hAnsi="Times New Roman" w:cs="Times New Roman"/>
          <w:sz w:val="24"/>
          <w:szCs w:val="24"/>
          <w:lang w:eastAsia="ru-RU"/>
        </w:rPr>
      </w:pPr>
      <w:r w:rsidRPr="0013502F">
        <w:rPr>
          <w:rFonts w:ascii="Times New Roman" w:eastAsia="Calibri" w:hAnsi="Times New Roman" w:cs="Times New Roman"/>
          <w:sz w:val="24"/>
          <w:szCs w:val="24"/>
          <w:lang w:eastAsia="ru-RU"/>
        </w:rPr>
        <w:t>Количество граждан, подписанных на смс-рассылку</w:t>
      </w:r>
    </w:p>
    <w:p w14:paraId="4EDB500B" w14:textId="77777777" w:rsidR="00C746D6" w:rsidRPr="0013502F" w:rsidRDefault="00C746D6" w:rsidP="00527456">
      <w:pPr>
        <w:spacing w:after="0" w:line="240" w:lineRule="auto"/>
        <w:ind w:firstLine="567"/>
        <w:jc w:val="center"/>
        <w:rPr>
          <w:rFonts w:ascii="Times New Roman" w:eastAsia="Calibri" w:hAnsi="Times New Roman" w:cs="Times New Roman"/>
          <w:sz w:val="24"/>
          <w:szCs w:val="24"/>
          <w:lang w:eastAsia="ru-RU"/>
        </w:rPr>
      </w:pPr>
    </w:p>
    <w:p w14:paraId="4E9A8B0A" w14:textId="77777777" w:rsidR="00887BD8" w:rsidRPr="0013502F" w:rsidRDefault="00887BD8" w:rsidP="00527456">
      <w:pPr>
        <w:spacing w:after="0" w:line="240" w:lineRule="auto"/>
        <w:ind w:firstLine="709"/>
        <w:jc w:val="center"/>
        <w:rPr>
          <w:rFonts w:ascii="Times New Roman" w:eastAsia="Calibri" w:hAnsi="Times New Roman" w:cs="Times New Roman"/>
          <w:sz w:val="28"/>
          <w:szCs w:val="28"/>
          <w:lang w:eastAsia="ru-RU"/>
        </w:rPr>
      </w:pPr>
      <w:r w:rsidRPr="0013502F">
        <w:rPr>
          <w:rFonts w:ascii="Times New Roman" w:hAnsi="Times New Roman" w:cs="Times New Roman"/>
          <w:noProof/>
          <w:lang w:eastAsia="ru-RU"/>
        </w:rPr>
        <w:drawing>
          <wp:inline distT="0" distB="0" distL="0" distR="0" wp14:anchorId="61DE431D" wp14:editId="26C19584">
            <wp:extent cx="3417570" cy="1581150"/>
            <wp:effectExtent l="0" t="0" r="1143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D4DEB2" w14:textId="77777777" w:rsidR="00C746D6" w:rsidRDefault="00C746D6" w:rsidP="00527456">
      <w:pPr>
        <w:spacing w:after="0" w:line="240" w:lineRule="auto"/>
        <w:ind w:firstLine="709"/>
        <w:jc w:val="both"/>
        <w:rPr>
          <w:rFonts w:ascii="Times New Roman" w:eastAsia="Calibri" w:hAnsi="Times New Roman" w:cs="Times New Roman"/>
          <w:sz w:val="28"/>
          <w:szCs w:val="28"/>
        </w:rPr>
      </w:pPr>
    </w:p>
    <w:p w14:paraId="167000E6" w14:textId="77777777" w:rsidR="00887BD8" w:rsidRPr="0013502F" w:rsidRDefault="00887BD8" w:rsidP="00527456">
      <w:pPr>
        <w:spacing w:after="0" w:line="240" w:lineRule="auto"/>
        <w:ind w:firstLine="709"/>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rPr>
        <w:t xml:space="preserve">На 10 % увеличилось количество </w:t>
      </w:r>
      <w:r w:rsidRPr="0013502F">
        <w:rPr>
          <w:rFonts w:ascii="Times New Roman" w:eastAsia="Calibri" w:hAnsi="Times New Roman" w:cs="Times New Roman"/>
          <w:sz w:val="28"/>
          <w:szCs w:val="28"/>
          <w:lang w:eastAsia="ru-RU"/>
        </w:rPr>
        <w:t>запросов на проверку очереди в детские сады (2013 год – 8 000, 2014 год – 12 000, 2015 год – 20 248</w:t>
      </w:r>
      <w:r w:rsidR="00527456">
        <w:rPr>
          <w:rFonts w:ascii="Times New Roman" w:eastAsia="Calibri" w:hAnsi="Times New Roman" w:cs="Times New Roman"/>
          <w:sz w:val="28"/>
          <w:szCs w:val="28"/>
          <w:lang w:eastAsia="ru-RU"/>
        </w:rPr>
        <w:t>, 2016 год – 22 352)  (Рисунок 1</w:t>
      </w:r>
      <w:r w:rsidRPr="0013502F">
        <w:rPr>
          <w:rFonts w:ascii="Times New Roman" w:eastAsia="Calibri" w:hAnsi="Times New Roman" w:cs="Times New Roman"/>
          <w:sz w:val="28"/>
          <w:szCs w:val="28"/>
          <w:lang w:eastAsia="ru-RU"/>
        </w:rPr>
        <w:t xml:space="preserve">1). </w:t>
      </w:r>
    </w:p>
    <w:p w14:paraId="61DF2DCD"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49ECFECB" w14:textId="77777777" w:rsidR="00887BD8" w:rsidRPr="0013502F" w:rsidRDefault="00527456" w:rsidP="00527456">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1</w:t>
      </w:r>
      <w:r w:rsidR="00887BD8" w:rsidRPr="0013502F">
        <w:rPr>
          <w:rFonts w:ascii="Times New Roman" w:eastAsia="Calibri" w:hAnsi="Times New Roman" w:cs="Times New Roman"/>
          <w:sz w:val="28"/>
          <w:szCs w:val="28"/>
          <w:lang w:eastAsia="ru-RU"/>
        </w:rPr>
        <w:t>1</w:t>
      </w:r>
    </w:p>
    <w:p w14:paraId="23F78C1D" w14:textId="77777777" w:rsidR="00887BD8" w:rsidRDefault="00887BD8" w:rsidP="00527456">
      <w:pPr>
        <w:spacing w:after="0" w:line="240" w:lineRule="auto"/>
        <w:ind w:firstLine="567"/>
        <w:jc w:val="center"/>
        <w:rPr>
          <w:rFonts w:ascii="Times New Roman" w:eastAsia="Calibri" w:hAnsi="Times New Roman" w:cs="Times New Roman"/>
          <w:sz w:val="24"/>
          <w:szCs w:val="24"/>
          <w:lang w:eastAsia="ru-RU"/>
        </w:rPr>
      </w:pPr>
      <w:r w:rsidRPr="0013502F">
        <w:rPr>
          <w:rFonts w:ascii="Times New Roman" w:eastAsia="Calibri" w:hAnsi="Times New Roman" w:cs="Times New Roman"/>
          <w:sz w:val="24"/>
          <w:szCs w:val="24"/>
          <w:lang w:eastAsia="ru-RU"/>
        </w:rPr>
        <w:t>Количество запросов на проверку очереди в детский сад</w:t>
      </w:r>
    </w:p>
    <w:p w14:paraId="6AC6EA42" w14:textId="77777777" w:rsidR="00C746D6" w:rsidRPr="0013502F" w:rsidRDefault="00C746D6" w:rsidP="00527456">
      <w:pPr>
        <w:spacing w:after="0" w:line="240" w:lineRule="auto"/>
        <w:ind w:firstLine="567"/>
        <w:jc w:val="center"/>
        <w:rPr>
          <w:rFonts w:ascii="Times New Roman" w:eastAsia="Calibri" w:hAnsi="Times New Roman" w:cs="Times New Roman"/>
          <w:sz w:val="24"/>
          <w:szCs w:val="24"/>
          <w:lang w:eastAsia="ru-RU"/>
        </w:rPr>
      </w:pPr>
    </w:p>
    <w:p w14:paraId="6C15C8E1" w14:textId="77777777" w:rsidR="00887BD8" w:rsidRPr="0013502F" w:rsidRDefault="00887BD8" w:rsidP="00527456">
      <w:pPr>
        <w:spacing w:after="0" w:line="240" w:lineRule="auto"/>
        <w:ind w:firstLine="709"/>
        <w:jc w:val="center"/>
        <w:rPr>
          <w:rFonts w:ascii="Times New Roman" w:eastAsia="Calibri" w:hAnsi="Times New Roman" w:cs="Times New Roman"/>
          <w:sz w:val="28"/>
          <w:szCs w:val="28"/>
          <w:lang w:eastAsia="ru-RU"/>
        </w:rPr>
      </w:pPr>
      <w:r w:rsidRPr="0013502F">
        <w:rPr>
          <w:rFonts w:ascii="Times New Roman" w:eastAsia="Calibri" w:hAnsi="Times New Roman" w:cs="Times New Roman"/>
          <w:noProof/>
          <w:lang w:eastAsia="ru-RU"/>
        </w:rPr>
        <w:drawing>
          <wp:inline distT="0" distB="0" distL="0" distR="0" wp14:anchorId="6B91B2FB" wp14:editId="4F8C32B4">
            <wp:extent cx="3838575" cy="1699260"/>
            <wp:effectExtent l="0" t="0" r="9525" b="1524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C856F4"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p>
    <w:p w14:paraId="12BC81D2"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текущем году на Официальном портале появился новый интерактивный сервис «Карта гаражно-строительных кооперативов и садово-огороднических товариществ», где можно получить информацию по всем садово-огородническим товариществам и гаражно-строительным кооперативам (паспорт объекта, местоположение, проложить маршрут проезда).</w:t>
      </w:r>
    </w:p>
    <w:p w14:paraId="64CD0B16"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Общий объем информации, размещенной на официальном информационном портале, составляет более 62 Гигабайт.</w:t>
      </w:r>
    </w:p>
    <w:p w14:paraId="292F34DE"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Такое значительное количество информации, размещаемой на портале и увеличение количества пользователей сервисов Официального информационного портала, свидетельствует о его востребованности среди жителей города, актуальности, доступности и открытости информации о деятельности органов местного самоуправления города Ханты-Мансийска. </w:t>
      </w:r>
    </w:p>
    <w:p w14:paraId="130BF561"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Стоит отметить, что Официальный портал разработан на базе отечественного программного продукта «1С Битрикс. Управление сайтом», который включен в Единый реестр российских программ для электронных вычислительных машин и баз данных.</w:t>
      </w:r>
    </w:p>
    <w:p w14:paraId="4CD13DB7"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 В 2016 году Официальный портал в очередной раз был удостоен звания </w:t>
      </w:r>
      <w:r w:rsidRPr="0013502F">
        <w:rPr>
          <w:rFonts w:ascii="Times New Roman" w:eastAsia="Calibri" w:hAnsi="Times New Roman" w:cs="Times New Roman"/>
          <w:sz w:val="28"/>
          <w:szCs w:val="28"/>
          <w:lang w:eastAsia="ru-RU"/>
        </w:rPr>
        <w:lastRenderedPageBreak/>
        <w:t>лучшего официального сайта по итогам окружного конкурса на лучший официальный сайт органа местного самоуправления муниципального образования Ханты-Мансийского автономного округа – Югры (2013 год – 1 место, 2014 год – 2 место, 2015 - 1 место).</w:t>
      </w:r>
    </w:p>
    <w:p w14:paraId="12396728"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b/>
          <w:i/>
          <w:sz w:val="28"/>
          <w:szCs w:val="28"/>
          <w:lang w:eastAsia="ru-RU"/>
        </w:rPr>
      </w:pPr>
      <w:r w:rsidRPr="0013502F">
        <w:rPr>
          <w:rFonts w:ascii="Times New Roman" w:eastAsia="Calibri" w:hAnsi="Times New Roman" w:cs="Times New Roman"/>
          <w:sz w:val="28"/>
          <w:szCs w:val="28"/>
          <w:lang w:eastAsia="ru-RU"/>
        </w:rPr>
        <w:t xml:space="preserve">Ханты-Мансийск является единственным муниципальным образованием автономного округа, которое имеет отдельный ресурс по публикации информации о своей деятельности в формате открытых данных – Портал открытых данных города Ханты-Мансийска. </w:t>
      </w:r>
    </w:p>
    <w:p w14:paraId="3F371C8F"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настоящее время на Портале открытых данных города Ханты-Мансийска размещено 39 наборов открытых данных, на основании которых разработаны мобильные приложения (в 2015 году было 20 наборов открытых данных).</w:t>
      </w:r>
    </w:p>
    <w:p w14:paraId="404F682D" w14:textId="77777777" w:rsidR="00887BD8" w:rsidRPr="0013502F" w:rsidRDefault="00887BD8" w:rsidP="00527456">
      <w:pPr>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В 2016 году реализация проекта по открытым данным получила новое развитие. Администрация города Ханты-Мансийска приняла активное участие в проведении конкурса для разработчиков мобильных приложений и веб-сервисов на основе открытых данных хакатон «Хантатон 2016», который впервые прошел в Югре. </w:t>
      </w:r>
    </w:p>
    <w:p w14:paraId="415C521A" w14:textId="77777777" w:rsidR="00887BD8" w:rsidRPr="0013502F" w:rsidRDefault="00887BD8" w:rsidP="0052745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3502F">
        <w:rPr>
          <w:rFonts w:ascii="Times New Roman" w:eastAsia="Calibri" w:hAnsi="Times New Roman" w:cs="Times New Roman"/>
          <w:sz w:val="28"/>
          <w:szCs w:val="28"/>
          <w:lang w:eastAsia="ru-RU"/>
        </w:rPr>
        <w:t>Конкурс был направлен на создание общедоступных социально значимых, либо инновационных приложений и веб-сервисов для повышения экономической эффективности автономного округа. При создании сервисов, направленных на совершенствование систем образования, ЖКХ, повышение туристической привлекательности города, командами использовались и наборы открытых данных города Ханты-Мансийска</w:t>
      </w:r>
      <w:r w:rsidRPr="0013502F">
        <w:rPr>
          <w:rFonts w:ascii="Times New Roman" w:eastAsia="Times New Roman" w:hAnsi="Times New Roman" w:cs="Times New Roman"/>
          <w:sz w:val="28"/>
          <w:szCs w:val="28"/>
          <w:lang w:eastAsia="ru-RU"/>
        </w:rPr>
        <w:t>.</w:t>
      </w:r>
    </w:p>
    <w:p w14:paraId="0DC67B6D" w14:textId="77777777" w:rsidR="00887BD8" w:rsidRPr="0013502F" w:rsidRDefault="00887BD8" w:rsidP="00527456">
      <w:pPr>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От города Ханты-Мансийска в хакатоне приняло участие 4 команды, две из которых заняли второе и третье места.</w:t>
      </w:r>
    </w:p>
    <w:p w14:paraId="1279BF1F" w14:textId="77777777" w:rsidR="00887BD8" w:rsidRPr="0013502F" w:rsidRDefault="00887BD8" w:rsidP="00527456">
      <w:pPr>
        <w:spacing w:after="0" w:line="240" w:lineRule="auto"/>
        <w:ind w:firstLine="709"/>
        <w:jc w:val="center"/>
        <w:rPr>
          <w:rFonts w:ascii="Times New Roman" w:eastAsia="Calibri" w:hAnsi="Times New Roman" w:cs="Times New Roman"/>
          <w:sz w:val="28"/>
          <w:szCs w:val="28"/>
          <w:lang w:eastAsia="ru-RU"/>
        </w:rPr>
      </w:pPr>
    </w:p>
    <w:p w14:paraId="63A5B66A" w14:textId="77777777" w:rsidR="00512E7A" w:rsidRPr="0013502F" w:rsidRDefault="00512E7A" w:rsidP="00527456">
      <w:pPr>
        <w:spacing w:after="0" w:line="240" w:lineRule="auto"/>
        <w:ind w:firstLine="709"/>
        <w:jc w:val="both"/>
        <w:rPr>
          <w:rFonts w:ascii="Times New Roman" w:eastAsia="Calibri" w:hAnsi="Times New Roman" w:cs="Times New Roman"/>
          <w:sz w:val="28"/>
          <w:szCs w:val="28"/>
        </w:rPr>
      </w:pPr>
    </w:p>
    <w:p w14:paraId="6753FC83" w14:textId="77777777" w:rsidR="00D95B29" w:rsidRPr="0013502F"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w:t>
      </w:r>
      <w:r w:rsidR="003D2F8B"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 xml:space="preserve">и медийная (публикации и выступления в СМИ) активность глав городских округов и муниципальных районов автономного округа, работа </w:t>
      </w:r>
      <w:r w:rsidR="003D2F8B"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с населением.</w:t>
      </w:r>
    </w:p>
    <w:p w14:paraId="1C0B1F09" w14:textId="77777777" w:rsidR="00887BD8" w:rsidRPr="0013502F" w:rsidRDefault="00887BD8" w:rsidP="00527456">
      <w:pPr>
        <w:widowControl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13502F">
        <w:rPr>
          <w:rFonts w:ascii="Times New Roman" w:eastAsia="Times New Roman" w:hAnsi="Times New Roman" w:cs="Times New Roman"/>
          <w:color w:val="000000"/>
          <w:sz w:val="28"/>
          <w:szCs w:val="28"/>
          <w:shd w:val="clear" w:color="auto" w:fill="FFFFFF"/>
          <w:lang w:eastAsia="ru-RU"/>
        </w:rPr>
        <w:t>События и темы городской жизни Ханты-Мансийска в отчетный период 2016 года систематически освещали около 20 средств массовой информации УРФО, региональных и городских СМИ, среди которых – информационные агентства, электронные версии газет, информационно-развлекательные порталы.</w:t>
      </w:r>
    </w:p>
    <w:p w14:paraId="71B24FE4" w14:textId="77777777" w:rsidR="00887BD8" w:rsidRPr="0013502F" w:rsidRDefault="00887BD8" w:rsidP="00527456">
      <w:pPr>
        <w:widowControl w:val="0"/>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рамках информирования жителей города о деятельности органов местного самоуправления за 2016 год подготовлено и размещено </w:t>
      </w:r>
      <w:r w:rsidRPr="0013502F">
        <w:rPr>
          <w:rFonts w:ascii="Times New Roman" w:eastAsia="Times New Roman" w:hAnsi="Times New Roman" w:cs="Times New Roman"/>
          <w:sz w:val="28"/>
          <w:szCs w:val="28"/>
        </w:rPr>
        <w:t>4609 информационных материалов (за 2015 год – 3870), что на 19 % больше по сравнению с 2015 годом (диаграмма №1)</w:t>
      </w:r>
      <w:r w:rsidRPr="0013502F">
        <w:rPr>
          <w:rFonts w:ascii="Times New Roman" w:eastAsia="Times New Roman" w:hAnsi="Times New Roman" w:cs="Times New Roman"/>
          <w:sz w:val="28"/>
          <w:szCs w:val="28"/>
          <w:lang w:eastAsia="ru-RU"/>
        </w:rPr>
        <w:t xml:space="preserve">: </w:t>
      </w:r>
    </w:p>
    <w:p w14:paraId="60AFE3CC" w14:textId="77777777" w:rsidR="00887BD8" w:rsidRPr="0013502F" w:rsidRDefault="00887BD8" w:rsidP="00527456">
      <w:pPr>
        <w:widowControl w:val="0"/>
        <w:numPr>
          <w:ilvl w:val="0"/>
          <w:numId w:val="8"/>
        </w:numPr>
        <w:spacing w:after="0" w:line="240" w:lineRule="auto"/>
        <w:ind w:left="993" w:hanging="426"/>
        <w:contextualSpacing/>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на официальном сайте www.admhmansy.ru – 1512 пресс-релизов;</w:t>
      </w:r>
    </w:p>
    <w:p w14:paraId="56C3009E" w14:textId="77777777" w:rsidR="00887BD8" w:rsidRPr="0013502F" w:rsidRDefault="00887BD8" w:rsidP="00527456">
      <w:pPr>
        <w:widowControl w:val="0"/>
        <w:numPr>
          <w:ilvl w:val="0"/>
          <w:numId w:val="8"/>
        </w:numPr>
        <w:spacing w:after="0" w:line="240" w:lineRule="auto"/>
        <w:ind w:left="993" w:hanging="426"/>
        <w:contextualSpacing/>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 xml:space="preserve">в городских СМИ </w:t>
      </w:r>
      <w:r w:rsidRPr="0013502F">
        <w:rPr>
          <w:rFonts w:ascii="Times New Roman" w:eastAsia="Times New Roman" w:hAnsi="Times New Roman" w:cs="Times New Roman"/>
          <w:sz w:val="28"/>
          <w:szCs w:val="28"/>
          <w:lang w:eastAsia="ru-RU"/>
        </w:rPr>
        <w:t>(газета «Самарово-Ханты-Мансийск», телевидение «Новая студия»)</w:t>
      </w:r>
      <w:r w:rsidRPr="0013502F">
        <w:rPr>
          <w:rFonts w:ascii="Times New Roman" w:eastAsia="Times New Roman" w:hAnsi="Times New Roman" w:cs="Times New Roman"/>
          <w:sz w:val="28"/>
          <w:szCs w:val="28"/>
        </w:rPr>
        <w:t xml:space="preserve"> – 2335 материала (за 2015 год – 1820);</w:t>
      </w:r>
    </w:p>
    <w:p w14:paraId="11FBA2BD" w14:textId="77777777" w:rsidR="00887BD8" w:rsidRPr="0013502F" w:rsidRDefault="00887BD8" w:rsidP="00527456">
      <w:pPr>
        <w:widowControl w:val="0"/>
        <w:numPr>
          <w:ilvl w:val="0"/>
          <w:numId w:val="9"/>
        </w:numPr>
        <w:spacing w:after="0" w:line="240" w:lineRule="auto"/>
        <w:ind w:left="993" w:hanging="426"/>
        <w:contextualSpacing/>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федеральных и региональных СМИ по информационным договорам сотрудничества – 762 материала (за 2015 год – 365).</w:t>
      </w:r>
    </w:p>
    <w:p w14:paraId="7D9EF15E" w14:textId="77777777" w:rsidR="00887BD8" w:rsidRDefault="00887BD8" w:rsidP="00527456">
      <w:pPr>
        <w:widowControl w:val="0"/>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lastRenderedPageBreak/>
        <w:t>доля городских информационных поводов, процитированных федеральными, окружными и городскими интернет изданиями от общего числа пресс-релизов и журналистских материалов, размещенных на официальном информационном портале органов местного самоуправления города Ханты-Мансийска, за 2016 год составила 65,4 %. Среди региональных изданий, наиболее часто цитирующих городские информационные поводы стали интернет-издания «Мангазея», «</w:t>
      </w:r>
      <w:r w:rsidRPr="0013502F">
        <w:rPr>
          <w:rFonts w:ascii="Times New Roman" w:eastAsia="Times New Roman" w:hAnsi="Times New Roman" w:cs="Times New Roman"/>
          <w:sz w:val="28"/>
          <w:szCs w:val="28"/>
          <w:lang w:val="en-US" w:eastAsia="ru-RU"/>
        </w:rPr>
        <w:t>Ugranews</w:t>
      </w:r>
      <w:r w:rsidRPr="0013502F">
        <w:rPr>
          <w:rFonts w:ascii="Times New Roman" w:eastAsia="Times New Roman" w:hAnsi="Times New Roman" w:cs="Times New Roman"/>
          <w:sz w:val="28"/>
          <w:szCs w:val="28"/>
          <w:lang w:eastAsia="ru-RU"/>
        </w:rPr>
        <w:t>», «ЮграPRO», «UgraNow», «АиФ Югра», «Риц Югра», среди федеральных – РиаНовости, ТассУрал, Накануне.ру, Правда Урфо.</w:t>
      </w:r>
    </w:p>
    <w:p w14:paraId="559E92A4" w14:textId="77777777" w:rsidR="00527456" w:rsidRPr="0013502F" w:rsidRDefault="00527456" w:rsidP="00527456">
      <w:pPr>
        <w:widowControl w:val="0"/>
        <w:spacing w:after="0" w:line="240" w:lineRule="auto"/>
        <w:ind w:left="928"/>
        <w:contextualSpacing/>
        <w:jc w:val="both"/>
        <w:rPr>
          <w:rFonts w:ascii="Times New Roman" w:eastAsia="Times New Roman" w:hAnsi="Times New Roman" w:cs="Times New Roman"/>
          <w:sz w:val="28"/>
          <w:szCs w:val="28"/>
          <w:lang w:eastAsia="ru-RU"/>
        </w:rPr>
      </w:pPr>
    </w:p>
    <w:p w14:paraId="3F6C8235" w14:textId="77777777" w:rsidR="00B03809" w:rsidRPr="0013502F" w:rsidRDefault="00527456" w:rsidP="00527456">
      <w:pPr>
        <w:spacing w:after="0" w:line="24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Рисунок</w:t>
      </w:r>
      <w:r w:rsidR="00B03809" w:rsidRPr="0013502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12</w:t>
      </w:r>
    </w:p>
    <w:p w14:paraId="40CC02EC" w14:textId="77777777" w:rsidR="00B03809" w:rsidRPr="0013502F" w:rsidRDefault="00B03809" w:rsidP="00527456">
      <w:pPr>
        <w:spacing w:after="0" w:line="240" w:lineRule="auto"/>
        <w:ind w:firstLine="709"/>
        <w:jc w:val="center"/>
        <w:rPr>
          <w:rFonts w:ascii="Calibri" w:eastAsia="Calibri" w:hAnsi="Calibri" w:cs="Times New Roman"/>
          <w:noProof/>
          <w:lang w:eastAsia="ru-RU"/>
        </w:rPr>
      </w:pPr>
    </w:p>
    <w:p w14:paraId="6D98DF23" w14:textId="77777777" w:rsidR="00887BD8" w:rsidRPr="0013502F" w:rsidRDefault="00887BD8" w:rsidP="00527456">
      <w:pPr>
        <w:spacing w:after="0" w:line="240" w:lineRule="auto"/>
        <w:ind w:firstLine="709"/>
        <w:jc w:val="center"/>
        <w:rPr>
          <w:rFonts w:ascii="Times New Roman" w:eastAsia="Calibri" w:hAnsi="Times New Roman" w:cs="Times New Roman"/>
          <w:b/>
          <w:color w:val="000000"/>
          <w:sz w:val="28"/>
          <w:szCs w:val="28"/>
        </w:rPr>
      </w:pPr>
      <w:r w:rsidRPr="0013502F">
        <w:rPr>
          <w:rFonts w:ascii="Times New Roman" w:hAnsi="Times New Roman" w:cs="Times New Roman"/>
          <w:b/>
          <w:noProof/>
          <w:color w:val="000000" w:themeColor="text1"/>
          <w:sz w:val="28"/>
          <w:szCs w:val="28"/>
          <w:lang w:eastAsia="ru-RU"/>
        </w:rPr>
        <w:drawing>
          <wp:inline distT="0" distB="0" distL="0" distR="0" wp14:anchorId="50821668" wp14:editId="29A266A7">
            <wp:extent cx="5915771" cy="2170706"/>
            <wp:effectExtent l="0" t="0" r="2794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CB545E4" w14:textId="77777777" w:rsidR="00887BD8" w:rsidRPr="0013502F" w:rsidRDefault="00887BD8" w:rsidP="00527456">
      <w:pPr>
        <w:spacing w:after="0" w:line="240" w:lineRule="auto"/>
        <w:ind w:firstLine="709"/>
        <w:jc w:val="center"/>
        <w:rPr>
          <w:rFonts w:ascii="Times New Roman" w:eastAsia="Calibri" w:hAnsi="Times New Roman" w:cs="Times New Roman"/>
          <w:b/>
          <w:color w:val="000000"/>
          <w:sz w:val="28"/>
          <w:szCs w:val="28"/>
        </w:rPr>
      </w:pPr>
    </w:p>
    <w:p w14:paraId="7146FF30" w14:textId="77777777" w:rsidR="00887BD8" w:rsidRPr="0013502F" w:rsidRDefault="00887BD8" w:rsidP="00527456">
      <w:pPr>
        <w:spacing w:after="0" w:line="240" w:lineRule="auto"/>
        <w:ind w:firstLine="708"/>
        <w:jc w:val="both"/>
        <w:rPr>
          <w:rFonts w:ascii="Times New Roman" w:hAnsi="Times New Roman" w:cs="Times New Roman"/>
          <w:color w:val="000000" w:themeColor="text1"/>
          <w:sz w:val="28"/>
          <w:szCs w:val="28"/>
        </w:rPr>
      </w:pPr>
      <w:bookmarkStart w:id="7" w:name="_3._Исполнение_отдельных"/>
      <w:bookmarkEnd w:id="7"/>
      <w:r w:rsidRPr="0013502F">
        <w:rPr>
          <w:rFonts w:ascii="Times New Roman" w:hAnsi="Times New Roman" w:cs="Times New Roman"/>
          <w:sz w:val="28"/>
          <w:szCs w:val="28"/>
        </w:rPr>
        <w:t xml:space="preserve">Муниципальным бюджетным учреждением «Городской информационный центр» реализуются основные информационные проекты с помощью телевидения </w:t>
      </w:r>
      <w:r w:rsidRPr="0013502F">
        <w:rPr>
          <w:rFonts w:ascii="Times New Roman" w:hAnsi="Times New Roman" w:cs="Times New Roman"/>
          <w:color w:val="000000" w:themeColor="text1"/>
          <w:sz w:val="28"/>
          <w:szCs w:val="28"/>
        </w:rPr>
        <w:t xml:space="preserve">города Ханты-Мансийска </w:t>
      </w:r>
      <w:r w:rsidRPr="0013502F">
        <w:rPr>
          <w:rFonts w:ascii="Times New Roman" w:hAnsi="Times New Roman" w:cs="Times New Roman"/>
          <w:sz w:val="28"/>
          <w:szCs w:val="28"/>
        </w:rPr>
        <w:t xml:space="preserve">«Новая студия» и общественно-политической газеты </w:t>
      </w:r>
      <w:r w:rsidRPr="0013502F">
        <w:rPr>
          <w:rFonts w:ascii="Times New Roman" w:hAnsi="Times New Roman" w:cs="Times New Roman"/>
          <w:color w:val="000000" w:themeColor="text1"/>
          <w:sz w:val="28"/>
          <w:szCs w:val="28"/>
        </w:rPr>
        <w:t>«Самарово – Ханты-Мансийск»</w:t>
      </w:r>
      <w:r w:rsidRPr="0013502F">
        <w:rPr>
          <w:rFonts w:ascii="Times New Roman" w:hAnsi="Times New Roman" w:cs="Times New Roman"/>
          <w:sz w:val="28"/>
          <w:szCs w:val="28"/>
        </w:rPr>
        <w:t xml:space="preserve">. </w:t>
      </w:r>
      <w:r w:rsidRPr="0013502F">
        <w:rPr>
          <w:rFonts w:ascii="Times New Roman" w:hAnsi="Times New Roman" w:cs="Times New Roman"/>
          <w:color w:val="000000" w:themeColor="text1"/>
          <w:sz w:val="28"/>
          <w:szCs w:val="28"/>
        </w:rPr>
        <w:t xml:space="preserve">Всего Городским информационным центром за 2016 год осуществлено производство и выход в эфир (печать) более 2000 журналистских материалов, что на 28 % больше по сравнению с 2015 годом. </w:t>
      </w:r>
      <w:r w:rsidRPr="0013502F">
        <w:rPr>
          <w:rFonts w:ascii="Times New Roman" w:hAnsi="Times New Roman" w:cs="Times New Roman"/>
          <w:sz w:val="28"/>
          <w:szCs w:val="28"/>
        </w:rPr>
        <w:t xml:space="preserve">За последние два года тираж городской газеты </w:t>
      </w:r>
      <w:r w:rsidRPr="0013502F">
        <w:rPr>
          <w:rFonts w:ascii="Times New Roman" w:hAnsi="Times New Roman" w:cs="Times New Roman"/>
          <w:color w:val="000000" w:themeColor="text1"/>
          <w:sz w:val="28"/>
          <w:szCs w:val="28"/>
        </w:rPr>
        <w:t xml:space="preserve">«Самарово – Ханты-Мансийск» </w:t>
      </w:r>
      <w:r w:rsidRPr="0013502F">
        <w:rPr>
          <w:rFonts w:ascii="Times New Roman" w:hAnsi="Times New Roman" w:cs="Times New Roman"/>
          <w:sz w:val="28"/>
          <w:szCs w:val="28"/>
        </w:rPr>
        <w:t>увеличился с 5900 до 6100 экз.</w:t>
      </w:r>
      <w:r w:rsidRPr="0013502F">
        <w:rPr>
          <w:rFonts w:ascii="Times New Roman" w:hAnsi="Times New Roman" w:cs="Times New Roman"/>
          <w:color w:val="000000" w:themeColor="text1"/>
          <w:sz w:val="28"/>
          <w:szCs w:val="28"/>
        </w:rPr>
        <w:t xml:space="preserve"> (в 2015 году- 6000, в 2014 году – 5900 экз.).</w:t>
      </w:r>
    </w:p>
    <w:p w14:paraId="4BB8B997" w14:textId="77777777" w:rsidR="00887BD8" w:rsidRPr="0013502F" w:rsidRDefault="00887BD8"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Развитие общества, и прежде всего, информационных технологий, выводящих коммуникацию между людьми на новый уровень, дает возможность по привлечению широкого круга общественности к обсуждению насущных проблем и их решению путем выработки коллективных рекомендаций в адрес органов власти. С этой целью в Ханты-Мансийске с 2016 года реализуется краудсорсинговый проект «Мы вместе!». </w:t>
      </w:r>
      <w:r w:rsidRPr="0013502F">
        <w:rPr>
          <w:rFonts w:ascii="Times New Roman" w:eastAsia="Times New Roman" w:hAnsi="Times New Roman" w:cs="Times New Roman"/>
          <w:bCs/>
          <w:sz w:val="28"/>
          <w:szCs w:val="28"/>
          <w:lang w:eastAsia="ru-RU"/>
        </w:rPr>
        <w:t xml:space="preserve">За время его реализации более 2000 горожан приняли участие в интернет-голосованиях и публичных обсуждениях. Вопросами, получившие наибольший отклик населения, стали темы городского значения: высадка деревьев в Ханты-Мансийске, текущий ремонт дорожного полотна, доступность информации для жителей об использовании бюджетных средств, установка памятника Ленину. </w:t>
      </w:r>
    </w:p>
    <w:p w14:paraId="08B4B817" w14:textId="77777777" w:rsidR="00887BD8" w:rsidRPr="0013502F" w:rsidRDefault="00887BD8" w:rsidP="00527456">
      <w:pPr>
        <w:spacing w:after="0" w:line="240" w:lineRule="auto"/>
        <w:ind w:firstLine="709"/>
        <w:jc w:val="both"/>
        <w:rPr>
          <w:rFonts w:ascii="Times New Roman" w:eastAsia="Times New Roman" w:hAnsi="Times New Roman" w:cs="Times New Roman"/>
          <w:color w:val="000000"/>
          <w:sz w:val="28"/>
          <w:szCs w:val="28"/>
          <w:lang w:eastAsia="ru-RU"/>
        </w:rPr>
      </w:pPr>
      <w:r w:rsidRPr="0013502F">
        <w:rPr>
          <w:rFonts w:ascii="Times New Roman" w:eastAsia="Times New Roman" w:hAnsi="Times New Roman" w:cs="Times New Roman"/>
          <w:color w:val="000000" w:themeColor="text1"/>
          <w:sz w:val="28"/>
          <w:szCs w:val="28"/>
          <w:lang w:eastAsia="ru-RU"/>
        </w:rPr>
        <w:t xml:space="preserve">Социологические исследования – важный инструмент обратной связи с населением. </w:t>
      </w:r>
      <w:r w:rsidRPr="0013502F">
        <w:rPr>
          <w:rFonts w:ascii="Times New Roman" w:eastAsia="Times New Roman" w:hAnsi="Times New Roman" w:cs="Times New Roman"/>
          <w:sz w:val="28"/>
          <w:szCs w:val="28"/>
          <w:lang w:eastAsia="ru-RU"/>
        </w:rPr>
        <w:t xml:space="preserve">Социальное самочувствие населения является одним из самых информативных показателей реакции граждан на деятельность органов власти. В </w:t>
      </w:r>
      <w:r w:rsidRPr="0013502F">
        <w:rPr>
          <w:rFonts w:ascii="Times New Roman" w:eastAsia="Times New Roman" w:hAnsi="Times New Roman" w:cs="Times New Roman"/>
          <w:sz w:val="28"/>
          <w:szCs w:val="28"/>
          <w:lang w:eastAsia="ru-RU"/>
        </w:rPr>
        <w:lastRenderedPageBreak/>
        <w:t xml:space="preserve">2016 году </w:t>
      </w:r>
      <w:r w:rsidRPr="0013502F">
        <w:rPr>
          <w:rFonts w:ascii="Times New Roman" w:eastAsia="Times New Roman" w:hAnsi="Times New Roman" w:cs="Times New Roman"/>
          <w:color w:val="000000"/>
          <w:sz w:val="28"/>
          <w:szCs w:val="28"/>
          <w:lang w:eastAsia="ru-RU"/>
        </w:rPr>
        <w:t>жители Ханты-Мансийска довольно высоко оценивают свой уровень жизни: 63,3% опрошенных характеризуют его как «хороший» или «скорее хороший». У</w:t>
      </w:r>
      <w:r w:rsidRPr="0013502F">
        <w:rPr>
          <w:rFonts w:ascii="Times New Roman" w:eastAsia="Times New Roman" w:hAnsi="Times New Roman" w:cs="Times New Roman"/>
          <w:sz w:val="28"/>
          <w:szCs w:val="28"/>
          <w:lang w:eastAsia="ru-RU"/>
        </w:rPr>
        <w:t>ровень удовлетворенности качеством городской среды выше среднего и составляет 58,2 балла из ста возможных. Жители наиболее удовлетворены качеством медицинских услуг (59,5 баллов), качество ЖКУ занимает промежуточную позицию с 58,5 баллами из 100 возможных.</w:t>
      </w:r>
      <w:r w:rsidRPr="0013502F">
        <w:rPr>
          <w:rFonts w:ascii="Times New Roman" w:eastAsia="Times New Roman" w:hAnsi="Times New Roman" w:cs="Times New Roman"/>
          <w:color w:val="000000" w:themeColor="text1"/>
          <w:sz w:val="28"/>
          <w:szCs w:val="28"/>
          <w:lang w:eastAsia="ru-RU"/>
        </w:rPr>
        <w:t xml:space="preserve"> </w:t>
      </w:r>
      <w:r w:rsidRPr="0013502F">
        <w:rPr>
          <w:rFonts w:ascii="Times New Roman" w:eastAsia="Times New Roman" w:hAnsi="Times New Roman" w:cs="Times New Roman"/>
          <w:sz w:val="28"/>
          <w:szCs w:val="28"/>
          <w:lang w:eastAsia="ru-RU"/>
        </w:rPr>
        <w:t>При анализе качества городской среды отмечается возрастающий позитив в оценках качества здравоохранения и городских дорог, а также жилищной проблемы. Усилия городской власти по решению этих проблем оказались не только наиболее заметны, но и поддержаны горожанами.</w:t>
      </w:r>
      <w:r w:rsidRPr="0013502F">
        <w:rPr>
          <w:rFonts w:ascii="Times New Roman" w:eastAsia="Times New Roman" w:hAnsi="Times New Roman" w:cs="Times New Roman"/>
          <w:color w:val="000000" w:themeColor="text1"/>
          <w:sz w:val="28"/>
          <w:szCs w:val="28"/>
          <w:lang w:eastAsia="ru-RU"/>
        </w:rPr>
        <w:t xml:space="preserve"> </w:t>
      </w:r>
      <w:r w:rsidRPr="0013502F">
        <w:rPr>
          <w:rFonts w:ascii="Times New Roman" w:eastAsia="Times New Roman" w:hAnsi="Times New Roman" w:cs="Times New Roman"/>
          <w:sz w:val="28"/>
          <w:szCs w:val="28"/>
          <w:lang w:eastAsia="ru-RU"/>
        </w:rPr>
        <w:t>Наиболее высоко жители города Ханты-Мансийска оценили работу городской администрации – 68,6% дали положительную оценку ее работе, что на 18,5% выше показателя 2014 года.</w:t>
      </w:r>
    </w:p>
    <w:p w14:paraId="180702DB" w14:textId="77777777" w:rsidR="005C0A64" w:rsidRPr="0013502F" w:rsidRDefault="005C0A64" w:rsidP="00527456">
      <w:pPr>
        <w:widowControl w:val="0"/>
        <w:spacing w:after="0" w:line="240" w:lineRule="auto"/>
        <w:ind w:firstLine="709"/>
        <w:jc w:val="both"/>
        <w:rPr>
          <w:rFonts w:ascii="Times New Roman" w:eastAsia="Times New Roman" w:hAnsi="Times New Roman" w:cs="Times New Roman"/>
          <w:b/>
          <w:sz w:val="28"/>
          <w:szCs w:val="28"/>
          <w:lang w:eastAsia="ru-RU"/>
        </w:rPr>
      </w:pPr>
    </w:p>
    <w:p w14:paraId="60053D62" w14:textId="77777777" w:rsidR="00D95B29" w:rsidRPr="0013502F"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 xml:space="preserve">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w:t>
      </w:r>
      <w:r w:rsidR="00337895"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14:paraId="4410D0C9" w14:textId="77777777" w:rsidR="00427086" w:rsidRPr="0013502F" w:rsidRDefault="00427086" w:rsidP="00527456">
      <w:pPr>
        <w:widowControl w:val="0"/>
        <w:shd w:val="clear" w:color="auto" w:fill="FFFFFF"/>
        <w:tabs>
          <w:tab w:val="left" w:pos="567"/>
        </w:tabs>
        <w:spacing w:after="0" w:line="240" w:lineRule="auto"/>
        <w:ind w:firstLine="567"/>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val="x-none" w:eastAsia="ru-RU"/>
        </w:rPr>
        <w:t xml:space="preserve">За отчетный период </w:t>
      </w:r>
      <w:r w:rsidRPr="0013502F">
        <w:rPr>
          <w:rFonts w:ascii="Times New Roman" w:eastAsia="Calibri" w:hAnsi="Times New Roman" w:cs="Times New Roman"/>
          <w:sz w:val="28"/>
          <w:szCs w:val="28"/>
          <w:lang w:val="x-none" w:eastAsia="x-none"/>
        </w:rPr>
        <w:t>проведена значительная работа по совершенствованию нормативного правового регулирования в сфере оказания муниципальных услуг населению. Внесены изменения в 45 муниципальных правовых акт</w:t>
      </w:r>
      <w:r w:rsidRPr="0013502F">
        <w:rPr>
          <w:rFonts w:ascii="Times New Roman" w:eastAsia="Calibri" w:hAnsi="Times New Roman" w:cs="Times New Roman"/>
          <w:sz w:val="28"/>
          <w:szCs w:val="28"/>
          <w:lang w:eastAsia="x-none"/>
        </w:rPr>
        <w:t>а</w:t>
      </w:r>
      <w:r w:rsidRPr="0013502F">
        <w:rPr>
          <w:rFonts w:ascii="Times New Roman" w:eastAsia="Calibri" w:hAnsi="Times New Roman" w:cs="Times New Roman"/>
          <w:sz w:val="28"/>
          <w:szCs w:val="28"/>
          <w:lang w:val="x-none" w:eastAsia="x-none"/>
        </w:rPr>
        <w:t xml:space="preserve">, регулирующих отношения, возникающие в связи с предоставлением муниципальных услуг. </w:t>
      </w:r>
      <w:r w:rsidRPr="0013502F">
        <w:rPr>
          <w:rFonts w:ascii="Times New Roman" w:eastAsia="Times New Roman" w:hAnsi="Times New Roman" w:cs="Times New Roman"/>
          <w:sz w:val="28"/>
          <w:szCs w:val="28"/>
          <w:lang w:val="x-none" w:eastAsia="ru-RU"/>
        </w:rPr>
        <w:t>Изменения вносились в связи с</w:t>
      </w:r>
      <w:r w:rsidRPr="0013502F">
        <w:rPr>
          <w:rFonts w:ascii="Times New Roman" w:eastAsia="Times New Roman" w:hAnsi="Times New Roman" w:cs="Times New Roman"/>
          <w:sz w:val="28"/>
          <w:szCs w:val="28"/>
          <w:lang w:val="en-US" w:eastAsia="ru-RU"/>
        </w:rPr>
        <w:t> </w:t>
      </w:r>
      <w:r w:rsidRPr="0013502F">
        <w:rPr>
          <w:rFonts w:ascii="Times New Roman" w:eastAsia="Times New Roman" w:hAnsi="Times New Roman" w:cs="Times New Roman"/>
          <w:sz w:val="28"/>
          <w:szCs w:val="28"/>
          <w:lang w:val="x-none" w:eastAsia="ru-RU"/>
        </w:rPr>
        <w:t>необходимостью приведения административных регламентов в соответствие действующему законодательству, а также в целях увеличения количества услуг, предоставляемых по принципу «одного окна»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14:paraId="54269658"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Общее число предоставляемых органами местного самоуправления государственных и муниципальных услуг составляет 67.</w:t>
      </w:r>
    </w:p>
    <w:p w14:paraId="67629A50"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sz w:val="14"/>
          <w:szCs w:val="14"/>
          <w:lang w:eastAsia="ru-RU"/>
        </w:rPr>
      </w:pPr>
      <w:r w:rsidRPr="0013502F">
        <w:rPr>
          <w:rFonts w:ascii="Times New Roman" w:eastAsia="Times New Roman" w:hAnsi="Times New Roman" w:cs="Times New Roman"/>
          <w:sz w:val="28"/>
          <w:szCs w:val="28"/>
          <w:lang w:eastAsia="ru-RU"/>
        </w:rPr>
        <w:t>Количество заявителей, получивших муниципальные услуги, предоставленные органами Администрации города Ханты-Мансийска, в 2016 году составило 26 192, что на 3,6% больше по сравнению с 2015 годом (25 292 услуги).</w:t>
      </w:r>
    </w:p>
    <w:p w14:paraId="4CC6E1ED"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2016 году внесены изменения в Соглашение о взаимодействии между Администрацией города Ханты-Мансийска и АУ МФЦ Югры. В соответствии с</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eastAsia="ru-RU"/>
        </w:rPr>
        <w:t>новым Соглашением в АУ МФЦ Югры в настоящее время можно получить 40 муниципальных услуг (</w:t>
      </w:r>
      <w:r w:rsidRPr="0013502F">
        <w:rPr>
          <w:rFonts w:ascii="Times New Roman" w:eastAsia="Calibri" w:hAnsi="Times New Roman" w:cs="Times New Roman"/>
          <w:sz w:val="28"/>
          <w:szCs w:val="28"/>
        </w:rPr>
        <w:t>в 2013 году – 7 муниципальных услуг, в 2014 году – 16 муниципальных услуг, в 2015 году – 22 муниципальные услуги).</w:t>
      </w:r>
    </w:p>
    <w:p w14:paraId="04D62C66"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sz w:val="14"/>
          <w:szCs w:val="14"/>
          <w:shd w:val="clear" w:color="auto" w:fill="FFFFFF"/>
          <w:lang w:eastAsia="ru-RU"/>
        </w:rPr>
      </w:pPr>
      <w:r w:rsidRPr="0013502F">
        <w:rPr>
          <w:rFonts w:ascii="Times New Roman" w:eastAsia="Calibri" w:hAnsi="Times New Roman" w:cs="Times New Roman"/>
          <w:sz w:val="28"/>
          <w:szCs w:val="28"/>
          <w:lang w:eastAsia="ru-RU"/>
        </w:rPr>
        <w:t>П</w:t>
      </w:r>
      <w:r w:rsidRPr="0013502F">
        <w:rPr>
          <w:rFonts w:ascii="Times New Roman" w:eastAsia="Times New Roman" w:hAnsi="Times New Roman" w:cs="Times New Roman"/>
          <w:sz w:val="28"/>
          <w:szCs w:val="28"/>
          <w:lang w:eastAsia="ru-RU"/>
        </w:rPr>
        <w:t xml:space="preserve">о состоянию </w:t>
      </w:r>
      <w:r w:rsidRPr="0013502F">
        <w:rPr>
          <w:rFonts w:ascii="Times New Roman" w:eastAsia="Times New Roman" w:hAnsi="Times New Roman" w:cs="Times New Roman"/>
          <w:sz w:val="28"/>
          <w:szCs w:val="28"/>
          <w:shd w:val="clear" w:color="auto" w:fill="FFFFFF"/>
          <w:lang w:eastAsia="ru-RU"/>
        </w:rPr>
        <w:t>на 1 января 2017 года в АУ МФЦ Югры за предоставлением муниципальных услуг обратилось 1099 заявителей.</w:t>
      </w:r>
    </w:p>
    <w:p w14:paraId="2771FCBA" w14:textId="77777777" w:rsidR="00427086" w:rsidRPr="0013502F" w:rsidRDefault="00427086" w:rsidP="00527456">
      <w:pPr>
        <w:widowControl w:val="0"/>
        <w:shd w:val="clear" w:color="auto" w:fill="FFFFFF"/>
        <w:spacing w:after="0" w:line="240" w:lineRule="auto"/>
        <w:ind w:firstLine="708"/>
        <w:jc w:val="both"/>
        <w:rPr>
          <w:rFonts w:ascii="Times New Roman" w:eastAsia="Calibri" w:hAnsi="Times New Roman" w:cs="Times New Roman"/>
          <w:color w:val="000000"/>
          <w:sz w:val="28"/>
          <w:szCs w:val="28"/>
        </w:rPr>
      </w:pPr>
      <w:r w:rsidRPr="0013502F">
        <w:rPr>
          <w:rFonts w:ascii="Times New Roman" w:eastAsia="Calibri" w:hAnsi="Times New Roman" w:cs="Times New Roman"/>
          <w:color w:val="000000"/>
          <w:sz w:val="28"/>
          <w:szCs w:val="28"/>
        </w:rPr>
        <w:t xml:space="preserve">С целью повышения качества и доступности муниципальных услуг, ведется планомерная работа по увеличению количества услуг, предоставляемых в </w:t>
      </w:r>
      <w:r w:rsidRPr="0013502F">
        <w:rPr>
          <w:rFonts w:ascii="Times New Roman" w:eastAsia="Calibri" w:hAnsi="Times New Roman" w:cs="Times New Roman"/>
          <w:color w:val="000000"/>
          <w:sz w:val="28"/>
          <w:szCs w:val="28"/>
        </w:rPr>
        <w:lastRenderedPageBreak/>
        <w:t xml:space="preserve">электронном виде на Едином портале государственных услуг. На сегодняшний день на портале доступны для получения в электронном виде 35 услуг, предоставляемых органами Администрации города Ханты-Мансийска (2012 год – 19 услуг, 2013 год – 26 услуг, 2014 год – 31 услуга, 2015 год – 34 услуги). Диаграмма количества услуг, доступных для получения в электронном виде представлена на рисунке </w:t>
      </w:r>
      <w:r w:rsidR="00527456">
        <w:rPr>
          <w:rFonts w:ascii="Times New Roman" w:eastAsia="Calibri" w:hAnsi="Times New Roman" w:cs="Times New Roman"/>
          <w:color w:val="000000"/>
          <w:sz w:val="28"/>
          <w:szCs w:val="28"/>
        </w:rPr>
        <w:t>13</w:t>
      </w:r>
      <w:r w:rsidRPr="0013502F">
        <w:rPr>
          <w:rFonts w:ascii="Times New Roman" w:eastAsia="Calibri" w:hAnsi="Times New Roman" w:cs="Times New Roman"/>
          <w:color w:val="000000"/>
          <w:sz w:val="28"/>
          <w:szCs w:val="28"/>
        </w:rPr>
        <w:t>.</w:t>
      </w:r>
    </w:p>
    <w:p w14:paraId="5AF943D6" w14:textId="77777777" w:rsidR="00427086" w:rsidRPr="0013502F" w:rsidRDefault="00527456" w:rsidP="00527456">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w:t>
      </w:r>
      <w:r w:rsidR="00427086" w:rsidRPr="0013502F">
        <w:rPr>
          <w:rFonts w:ascii="Times New Roman" w:eastAsia="Calibri" w:hAnsi="Times New Roman" w:cs="Times New Roman"/>
          <w:sz w:val="28"/>
          <w:szCs w:val="28"/>
        </w:rPr>
        <w:t xml:space="preserve"> </w:t>
      </w:r>
      <w:r>
        <w:rPr>
          <w:rFonts w:ascii="Times New Roman" w:eastAsia="Calibri" w:hAnsi="Times New Roman" w:cs="Times New Roman"/>
          <w:sz w:val="28"/>
          <w:szCs w:val="28"/>
        </w:rPr>
        <w:t>13</w:t>
      </w:r>
    </w:p>
    <w:p w14:paraId="27AC4189" w14:textId="77777777" w:rsidR="00427086" w:rsidRPr="0013502F" w:rsidRDefault="00427086" w:rsidP="00527456">
      <w:pPr>
        <w:spacing w:after="0" w:line="240" w:lineRule="auto"/>
        <w:ind w:firstLine="567"/>
        <w:jc w:val="center"/>
        <w:rPr>
          <w:rFonts w:ascii="Times New Roman" w:eastAsia="Calibri" w:hAnsi="Times New Roman" w:cs="Times New Roman"/>
          <w:color w:val="000000"/>
          <w:sz w:val="24"/>
          <w:szCs w:val="24"/>
        </w:rPr>
      </w:pPr>
      <w:r w:rsidRPr="0013502F">
        <w:rPr>
          <w:rFonts w:ascii="Times New Roman" w:eastAsia="Calibri" w:hAnsi="Times New Roman" w:cs="Times New Roman"/>
          <w:color w:val="000000"/>
          <w:sz w:val="24"/>
          <w:szCs w:val="24"/>
        </w:rPr>
        <w:t>Количество услуг, доступных для получения в электронном виде</w:t>
      </w:r>
    </w:p>
    <w:p w14:paraId="165AE19D" w14:textId="77777777" w:rsidR="00427086" w:rsidRPr="0013502F" w:rsidRDefault="00427086" w:rsidP="00527456">
      <w:pPr>
        <w:widowControl w:val="0"/>
        <w:shd w:val="clear" w:color="auto" w:fill="FFFFFF"/>
        <w:spacing w:after="0" w:line="240" w:lineRule="auto"/>
        <w:ind w:firstLine="708"/>
        <w:jc w:val="both"/>
        <w:rPr>
          <w:rFonts w:ascii="Times New Roman" w:eastAsia="Calibri" w:hAnsi="Times New Roman" w:cs="Times New Roman"/>
          <w:color w:val="000000"/>
          <w:sz w:val="28"/>
          <w:szCs w:val="28"/>
        </w:rPr>
      </w:pPr>
    </w:p>
    <w:p w14:paraId="378E0A65" w14:textId="77777777" w:rsidR="00337895" w:rsidRPr="0013502F" w:rsidRDefault="00427086" w:rsidP="00527456">
      <w:pPr>
        <w:spacing w:after="0" w:line="240" w:lineRule="auto"/>
        <w:ind w:firstLine="709"/>
        <w:jc w:val="center"/>
        <w:rPr>
          <w:rFonts w:ascii="Times New Roman" w:eastAsia="Calibri" w:hAnsi="Times New Roman" w:cs="Times New Roman"/>
          <w:color w:val="000000"/>
          <w:sz w:val="28"/>
          <w:szCs w:val="28"/>
        </w:rPr>
      </w:pPr>
      <w:r w:rsidRPr="0013502F">
        <w:rPr>
          <w:rFonts w:ascii="Times New Roman" w:eastAsia="Calibri" w:hAnsi="Times New Roman" w:cs="Times New Roman"/>
          <w:noProof/>
          <w:lang w:eastAsia="ru-RU"/>
        </w:rPr>
        <w:drawing>
          <wp:inline distT="0" distB="0" distL="0" distR="0" wp14:anchorId="5648EA76" wp14:editId="465789E2">
            <wp:extent cx="2910178" cy="1447137"/>
            <wp:effectExtent l="0" t="0" r="5080" b="127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318DAC" w14:textId="77777777" w:rsidR="00337895" w:rsidRPr="0013502F" w:rsidRDefault="00337895" w:rsidP="00527456">
      <w:pPr>
        <w:spacing w:after="0" w:line="240" w:lineRule="auto"/>
        <w:ind w:firstLine="709"/>
        <w:jc w:val="both"/>
        <w:rPr>
          <w:rFonts w:ascii="Times New Roman" w:eastAsia="Calibri" w:hAnsi="Times New Roman" w:cs="Times New Roman"/>
          <w:color w:val="000000"/>
          <w:sz w:val="28"/>
          <w:szCs w:val="28"/>
        </w:rPr>
      </w:pPr>
    </w:p>
    <w:p w14:paraId="0B14D62E" w14:textId="77777777" w:rsidR="00427086" w:rsidRPr="0013502F" w:rsidRDefault="00427086" w:rsidP="00527456">
      <w:pPr>
        <w:tabs>
          <w:tab w:val="left" w:pos="567"/>
        </w:tabs>
        <w:spacing w:after="0" w:line="240" w:lineRule="auto"/>
        <w:ind w:firstLine="709"/>
        <w:jc w:val="both"/>
        <w:rPr>
          <w:rFonts w:ascii="Times New Roman" w:eastAsia="Calibri" w:hAnsi="Times New Roman" w:cs="Times New Roman"/>
          <w:color w:val="000000"/>
          <w:sz w:val="28"/>
          <w:szCs w:val="28"/>
        </w:rPr>
      </w:pPr>
      <w:r w:rsidRPr="0013502F">
        <w:rPr>
          <w:rFonts w:ascii="Times New Roman" w:eastAsia="Calibri" w:hAnsi="Times New Roman" w:cs="Times New Roman"/>
          <w:color w:val="000000"/>
          <w:sz w:val="28"/>
          <w:szCs w:val="28"/>
        </w:rPr>
        <w:t>Наиболее востребованы у горожан следующие услуги в электронном виде:</w:t>
      </w:r>
    </w:p>
    <w:p w14:paraId="39695C42" w14:textId="77777777" w:rsidR="00427086" w:rsidRPr="0013502F" w:rsidRDefault="00427086" w:rsidP="00527456">
      <w:pPr>
        <w:tabs>
          <w:tab w:val="left" w:pos="567"/>
          <w:tab w:val="left" w:pos="851"/>
        </w:tabs>
        <w:spacing w:after="0" w:line="240" w:lineRule="auto"/>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eastAsia="x-none"/>
        </w:rPr>
        <w:tab/>
        <w:t xml:space="preserve">- </w:t>
      </w:r>
      <w:r w:rsidRPr="0013502F">
        <w:rPr>
          <w:rFonts w:ascii="Times New Roman" w:eastAsia="Calibri" w:hAnsi="Times New Roman" w:cs="Times New Roman"/>
          <w:sz w:val="28"/>
          <w:szCs w:val="28"/>
          <w:lang w:val="x-none" w:eastAsia="x-none"/>
        </w:rPr>
        <w:t>прием заявлений, постановка на учет детей в образовательные учреждения, реализующие основную общеобразовательную программу дошкольного образования (46 услуг);</w:t>
      </w:r>
    </w:p>
    <w:p w14:paraId="1A0516A3" w14:textId="77777777" w:rsidR="00427086" w:rsidRPr="0013502F" w:rsidRDefault="00427086" w:rsidP="00527456">
      <w:pPr>
        <w:tabs>
          <w:tab w:val="left" w:pos="567"/>
          <w:tab w:val="left" w:pos="851"/>
        </w:tabs>
        <w:spacing w:after="0" w:line="240" w:lineRule="auto"/>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eastAsia="x-none"/>
        </w:rPr>
        <w:tab/>
        <w:t xml:space="preserve">- </w:t>
      </w:r>
      <w:r w:rsidRPr="0013502F">
        <w:rPr>
          <w:rFonts w:ascii="Times New Roman" w:eastAsia="Calibri" w:hAnsi="Times New Roman" w:cs="Times New Roman"/>
          <w:sz w:val="28"/>
          <w:szCs w:val="28"/>
          <w:lang w:val="x-none" w:eastAsia="x-none"/>
        </w:rPr>
        <w:t>государственная регистрация рождения (10 услуг);</w:t>
      </w:r>
    </w:p>
    <w:p w14:paraId="504229B4" w14:textId="77777777" w:rsidR="00427086" w:rsidRPr="0013502F" w:rsidRDefault="00427086" w:rsidP="00527456">
      <w:pPr>
        <w:tabs>
          <w:tab w:val="left" w:pos="567"/>
          <w:tab w:val="left" w:pos="851"/>
        </w:tabs>
        <w:spacing w:after="0" w:line="240" w:lineRule="auto"/>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eastAsia="x-none"/>
        </w:rPr>
        <w:tab/>
        <w:t xml:space="preserve">- </w:t>
      </w:r>
      <w:r w:rsidRPr="0013502F">
        <w:rPr>
          <w:rFonts w:ascii="Times New Roman" w:eastAsia="Calibri" w:hAnsi="Times New Roman" w:cs="Times New Roman"/>
          <w:sz w:val="28"/>
          <w:szCs w:val="28"/>
          <w:lang w:val="x-none" w:eastAsia="x-none"/>
        </w:rPr>
        <w:t>государственная регистрация заключения брака (102 услуги).</w:t>
      </w:r>
    </w:p>
    <w:p w14:paraId="1546CAF7"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14"/>
          <w:szCs w:val="14"/>
          <w:lang w:eastAsia="ru-RU"/>
        </w:rPr>
      </w:pPr>
      <w:r w:rsidRPr="0013502F">
        <w:rPr>
          <w:rFonts w:ascii="Times New Roman" w:eastAsia="Calibri" w:hAnsi="Times New Roman" w:cs="Times New Roman"/>
          <w:color w:val="000000"/>
          <w:sz w:val="28"/>
          <w:szCs w:val="28"/>
        </w:rPr>
        <w:t>За 2016 год предоставлено в электронном виде 44 299 услуг, в том числе 44 032 услуги по предоставлению информации о текущей успеваемости учащегося (в 2014 году в электронном виде было оказано всего 62 услуги, в 2015 году – 22 882, из них 22 694 услуги по предоставлению информации о текущей успеваемости учащегося).</w:t>
      </w:r>
    </w:p>
    <w:p w14:paraId="57E520C6"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целях популяризации среди граждан механизма получения государственных и муниципальных услуг в электронной форме в течение 2016 года проведен ряд мероприятий, направленных на повышение информированности граждан о преимуществах получения услуг в электронной форме. К числу таких мероприятий относятся:</w:t>
      </w:r>
    </w:p>
    <w:p w14:paraId="0C272ADE"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регистрация населения в Единой системе идентификации и</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аутентификации в Единый день голосования (18 сентября 2016 года);</w:t>
      </w:r>
    </w:p>
    <w:p w14:paraId="55A43F71"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проведение мероприятий по информированию граждан о получении государственных и муниципальных услуг в электронной форме, реализованных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рамках Плана комплексных мероприятий по популяризации механизмов получения услуг в электронной форме. План разработан с учетом методических рекомендаций органам местного самоуправления по информированию граждан о преимуществах получения государственных и муниципальных услуг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электронной форме (интервью на телевидении, пресс-релизы на официальном сайте Администрации города Ханты-Мансийска и др.);</w:t>
      </w:r>
    </w:p>
    <w:p w14:paraId="1922C61E"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 xml:space="preserve">проведение тематических родительских собраний в образовательных организациях города по популяризации среди граждан механизма получения </w:t>
      </w:r>
      <w:r w:rsidRPr="0013502F">
        <w:rPr>
          <w:rFonts w:ascii="Times New Roman" w:eastAsia="Calibri" w:hAnsi="Times New Roman" w:cs="Times New Roman"/>
          <w:sz w:val="28"/>
          <w:szCs w:val="28"/>
          <w:lang w:val="x-none" w:eastAsia="ru-RU"/>
        </w:rPr>
        <w:lastRenderedPageBreak/>
        <w:t>государственных и муниципальных услуг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электронной форме;</w:t>
      </w:r>
    </w:p>
    <w:p w14:paraId="66172E3C"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14"/>
          <w:szCs w:val="14"/>
          <w:lang w:val="x-none" w:eastAsia="x-none"/>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размещение на информационных стендах и на официальных сайтах образовательных организаций города информация о регистрации на портале госуслуг, а также видеороликов о возможности получении госуслуг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электронной форме.</w:t>
      </w:r>
    </w:p>
    <w:p w14:paraId="22559CA0" w14:textId="77777777" w:rsidR="00427086" w:rsidRPr="0013502F" w:rsidRDefault="00427086" w:rsidP="00527456">
      <w:pPr>
        <w:widowControl w:val="0"/>
        <w:shd w:val="clear" w:color="auto" w:fill="FFFFFF"/>
        <w:tabs>
          <w:tab w:val="left" w:pos="567"/>
        </w:tabs>
        <w:spacing w:after="0" w:line="240" w:lineRule="auto"/>
        <w:ind w:firstLine="567"/>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val="x-none" w:eastAsia="ru-RU"/>
        </w:rPr>
        <w:t>Важным фактором, содействующим развитию в городе Ханты-Мансийске информационного общества,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информационно-коммуникационных технологий.</w:t>
      </w:r>
    </w:p>
    <w:p w14:paraId="49665E05" w14:textId="77777777" w:rsidR="00427086" w:rsidRPr="0013502F" w:rsidRDefault="00427086" w:rsidP="00527456">
      <w:pPr>
        <w:widowControl w:val="0"/>
        <w:shd w:val="clear" w:color="auto" w:fill="FFFFFF"/>
        <w:tabs>
          <w:tab w:val="left" w:pos="567"/>
        </w:tabs>
        <w:spacing w:after="0" w:line="240" w:lineRule="auto"/>
        <w:ind w:firstLine="567"/>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val="x-none" w:eastAsia="x-none"/>
        </w:rPr>
        <w:t>Для организации равного доступа населения, в том числе лиц с ограниченными возможностями здоровья, к информации о деятельности органов местного самоуправления в 2016 году совместно с Департаментом информационных технологий автономного округа обеспечена работа 4-х центров общественного доступа (</w:t>
      </w:r>
      <w:r w:rsidRPr="0013502F">
        <w:rPr>
          <w:rFonts w:ascii="Times New Roman" w:eastAsia="Calibri" w:hAnsi="Times New Roman" w:cs="Times New Roman"/>
          <w:sz w:val="28"/>
          <w:szCs w:val="28"/>
          <w:lang w:eastAsia="x-none"/>
        </w:rPr>
        <w:t xml:space="preserve">далее – </w:t>
      </w:r>
      <w:r w:rsidRPr="0013502F">
        <w:rPr>
          <w:rFonts w:ascii="Times New Roman" w:eastAsia="Calibri" w:hAnsi="Times New Roman" w:cs="Times New Roman"/>
          <w:sz w:val="28"/>
          <w:szCs w:val="28"/>
          <w:lang w:val="x-none" w:eastAsia="x-none"/>
        </w:rPr>
        <w:t>ЦОД) к информации, государственным и муниципальным услугам, предоставляемым в электронной форме на территории автономного округа.</w:t>
      </w:r>
    </w:p>
    <w:p w14:paraId="7731D2FC"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ЦОДах предоставляется бесплатный доступ в сеть Интернет и справочно-правовым системам, а также осуществляется обучение жителей города Ханты-Мансийска по программе «Электронный гражданин». В 2016 году обучено 100 горожан. Работа в этом направлении будет продолжена и в 2017 году.</w:t>
      </w:r>
    </w:p>
    <w:p w14:paraId="4D780056" w14:textId="77777777" w:rsidR="00427086" w:rsidRPr="0013502F"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Также с целью увеличения доли граждан, использующих механизм получения государственных и муниципальных услуг в электронной форме, в 4 органах Администрации города Ханты-Мансийска действуют Центры обслуживания пользователей портала госуслуг, осуществляющие регистрацию пользователей на портале госуслуг и подтверждение личности в Единой системе идентификации и аутентификации. </w:t>
      </w:r>
    </w:p>
    <w:p w14:paraId="0FB1C793" w14:textId="77777777" w:rsidR="00427086" w:rsidRPr="0013502F"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в Центрах подтверждена учетная запись 937 пользователям (в 2015 году – 221, в 2014 году – 22).</w:t>
      </w:r>
    </w:p>
    <w:p w14:paraId="32420E32"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Для организации межведомственного взаимодействия в Администрации города создан защищенный сегмент корпоративной сети (52 рабочих места VipNET), который интегрирован в систему межведомственного электронного взаимодействия автономного округа, что позволяет специалистам органов Администрации города Ханты-Мансийска получать сведения по необходимым федеральным и региональным сервисам. </w:t>
      </w:r>
    </w:p>
    <w:p w14:paraId="2B276C0E"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К настоящему времени посредством системы межведомственного электронного взаимодействия (далее – СМЭВ) специалисты органов Администрации города Ханты-Мансийска имеют возможность самостоятельно получать различные документы (сведения), необходимые при предоставлении государственных и муниципальных услуг.</w:t>
      </w:r>
    </w:p>
    <w:p w14:paraId="22693166"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Согласно статистике, по каналам СМЭВ, сотрудниками органов Администрации города Ханты-Мансийска при предоставлении государственных и</w:t>
      </w:r>
      <w:r w:rsidRPr="0013502F">
        <w:rPr>
          <w:rFonts w:ascii="Times New Roman" w:eastAsia="Calibri" w:hAnsi="Times New Roman" w:cs="Times New Roman"/>
          <w:sz w:val="28"/>
          <w:szCs w:val="28"/>
          <w:lang w:val="en-US"/>
        </w:rPr>
        <w:t> </w:t>
      </w:r>
      <w:r w:rsidRPr="0013502F">
        <w:rPr>
          <w:rFonts w:ascii="Times New Roman" w:eastAsia="Calibri" w:hAnsi="Times New Roman" w:cs="Times New Roman"/>
          <w:sz w:val="28"/>
          <w:szCs w:val="28"/>
        </w:rPr>
        <w:t xml:space="preserve">муниципальных услуг за 2016 год направлено около 7 тыс. запросов о предоставлении документов и справок, что избавило заявителей от </w:t>
      </w:r>
      <w:r w:rsidRPr="0013502F">
        <w:rPr>
          <w:rFonts w:ascii="Times New Roman" w:eastAsia="Calibri" w:hAnsi="Times New Roman" w:cs="Times New Roman"/>
          <w:sz w:val="28"/>
          <w:szCs w:val="28"/>
        </w:rPr>
        <w:lastRenderedPageBreak/>
        <w:t>необходимости лично приносить в орган власти документы при получении услуг (6902 запроса в 2016 году, 6821 запрос в 2015 году и 4174 запроса в 2014 году).</w:t>
      </w:r>
    </w:p>
    <w:p w14:paraId="3898E781"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Наиболее востребованными сведениями, запрашиваемыми по каналам СМЭВ, являются сведения, предоставляемые Росреестром, ФНС России, Пенсионным фондом Российской Федерации.</w:t>
      </w:r>
    </w:p>
    <w:p w14:paraId="5CF60459" w14:textId="77777777" w:rsidR="00427086" w:rsidRPr="0013502F"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Всего сотрудниками органов Администрации города Ханты-Мансийска в 2016 году направлено 13 854 межведомственных запроса (в 2015 году – 12 952 запроса, в 2014 году – 10 482 запроса).</w:t>
      </w:r>
    </w:p>
    <w:p w14:paraId="6511A4EB" w14:textId="77777777" w:rsidR="00427086" w:rsidRPr="00266FFD"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целях исполнения требований Закона № 210-ФЗ сотрудниками органов Администрации города Ханты-Мансийска в 2016 году было предоставлено 3385 ответов на поступившие от исполнительных органов государственной власти межведомственных запросов посредством СМЭВ, что на 17,4% больше, чем в предыдущем году (в 2015 году – 2883 ответа, в 2014 году 4498 ответов).</w:t>
      </w:r>
    </w:p>
    <w:p w14:paraId="70F0BC5C" w14:textId="77777777" w:rsidR="00512E7A" w:rsidRPr="00512E7A" w:rsidRDefault="00161320" w:rsidP="00427B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sectPr w:rsidR="00512E7A" w:rsidRPr="00512E7A" w:rsidSect="00AA7E3E">
      <w:pgSz w:w="11906" w:h="16838"/>
      <w:pgMar w:top="1134" w:right="851"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9B130" w15:done="0"/>
  <w15:commentEx w15:paraId="7D1F5A99" w15:done="0"/>
  <w15:commentEx w15:paraId="36E38975" w15:done="0"/>
  <w15:commentEx w15:paraId="521D1A4E" w15:done="0"/>
  <w15:commentEx w15:paraId="41870325" w15:done="0"/>
  <w15:commentEx w15:paraId="73906FFD" w15:done="0"/>
  <w15:commentEx w15:paraId="07253D0B" w15:done="0"/>
  <w15:commentEx w15:paraId="3AA3737D" w15:done="0"/>
  <w15:commentEx w15:paraId="2B92477F" w15:done="0"/>
  <w15:commentEx w15:paraId="25CD98BF" w15:done="0"/>
  <w15:commentEx w15:paraId="5B69A769" w15:done="0"/>
  <w15:commentEx w15:paraId="7F4840AE" w15:done="0"/>
  <w15:commentEx w15:paraId="11E655BD" w15:done="0"/>
  <w15:commentEx w15:paraId="4C73F752" w15:done="0"/>
  <w15:commentEx w15:paraId="17E3D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4BDD" w14:textId="77777777" w:rsidR="00CA3801" w:rsidRDefault="00CA3801" w:rsidP="00AD59E0">
      <w:pPr>
        <w:spacing w:after="0" w:line="240" w:lineRule="auto"/>
      </w:pPr>
      <w:r>
        <w:separator/>
      </w:r>
    </w:p>
  </w:endnote>
  <w:endnote w:type="continuationSeparator" w:id="0">
    <w:p w14:paraId="5F801DEE" w14:textId="77777777" w:rsidR="00CA3801" w:rsidRDefault="00CA3801" w:rsidP="00AD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10231"/>
      <w:docPartObj>
        <w:docPartGallery w:val="Page Numbers (Bottom of Page)"/>
        <w:docPartUnique/>
      </w:docPartObj>
    </w:sdtPr>
    <w:sdtEndPr>
      <w:rPr>
        <w:rFonts w:ascii="Times New Roman" w:hAnsi="Times New Roman" w:cs="Times New Roman"/>
        <w:sz w:val="28"/>
      </w:rPr>
    </w:sdtEndPr>
    <w:sdtContent>
      <w:p w14:paraId="5E1E6717" w14:textId="77777777" w:rsidR="00411905" w:rsidRPr="00AD59E0" w:rsidRDefault="00411905" w:rsidP="00AD59E0">
        <w:pPr>
          <w:pStyle w:val="a8"/>
          <w:jc w:val="right"/>
          <w:rPr>
            <w:rFonts w:ascii="Times New Roman" w:hAnsi="Times New Roman" w:cs="Times New Roman"/>
            <w:sz w:val="28"/>
          </w:rPr>
        </w:pPr>
        <w:r w:rsidRPr="00AD59E0">
          <w:rPr>
            <w:rFonts w:ascii="Times New Roman" w:hAnsi="Times New Roman" w:cs="Times New Roman"/>
            <w:sz w:val="28"/>
          </w:rPr>
          <w:fldChar w:fldCharType="begin"/>
        </w:r>
        <w:r w:rsidRPr="00AD59E0">
          <w:rPr>
            <w:rFonts w:ascii="Times New Roman" w:hAnsi="Times New Roman" w:cs="Times New Roman"/>
            <w:sz w:val="28"/>
          </w:rPr>
          <w:instrText>PAGE   \* MERGEFORMAT</w:instrText>
        </w:r>
        <w:r w:rsidRPr="00AD59E0">
          <w:rPr>
            <w:rFonts w:ascii="Times New Roman" w:hAnsi="Times New Roman" w:cs="Times New Roman"/>
            <w:sz w:val="28"/>
          </w:rPr>
          <w:fldChar w:fldCharType="separate"/>
        </w:r>
        <w:r w:rsidR="00B43136">
          <w:rPr>
            <w:rFonts w:ascii="Times New Roman" w:hAnsi="Times New Roman" w:cs="Times New Roman"/>
            <w:noProof/>
            <w:sz w:val="28"/>
          </w:rPr>
          <w:t>2</w:t>
        </w:r>
        <w:r w:rsidRPr="00AD59E0">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0F3B" w14:textId="77777777" w:rsidR="00CA3801" w:rsidRDefault="00CA3801" w:rsidP="00AD59E0">
      <w:pPr>
        <w:spacing w:after="0" w:line="240" w:lineRule="auto"/>
      </w:pPr>
      <w:r>
        <w:separator/>
      </w:r>
    </w:p>
  </w:footnote>
  <w:footnote w:type="continuationSeparator" w:id="0">
    <w:p w14:paraId="59435AC4" w14:textId="77777777" w:rsidR="00CA3801" w:rsidRDefault="00CA3801" w:rsidP="00AD5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3E32"/>
    <w:multiLevelType w:val="hybridMultilevel"/>
    <w:tmpl w:val="6DF24194"/>
    <w:lvl w:ilvl="0" w:tplc="D25EE35A">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5363C0"/>
    <w:multiLevelType w:val="hybridMultilevel"/>
    <w:tmpl w:val="C0E6EFF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F255B27"/>
    <w:multiLevelType w:val="multilevel"/>
    <w:tmpl w:val="403E163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4584335"/>
    <w:multiLevelType w:val="hybridMultilevel"/>
    <w:tmpl w:val="30A6AF56"/>
    <w:lvl w:ilvl="0" w:tplc="FDC65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14655"/>
    <w:multiLevelType w:val="hybridMultilevel"/>
    <w:tmpl w:val="EE70C4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1450B7"/>
    <w:multiLevelType w:val="hybridMultilevel"/>
    <w:tmpl w:val="B98E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1D17C5"/>
    <w:multiLevelType w:val="hybridMultilevel"/>
    <w:tmpl w:val="2DC8BA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C96EA7"/>
    <w:multiLevelType w:val="hybridMultilevel"/>
    <w:tmpl w:val="0892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C23FE"/>
    <w:multiLevelType w:val="hybridMultilevel"/>
    <w:tmpl w:val="BB30AA82"/>
    <w:lvl w:ilvl="0" w:tplc="E1AC48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1"/>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К">
    <w15:presenceInfo w15:providerId="None" w15:userId="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89"/>
    <w:rsid w:val="00000BCF"/>
    <w:rsid w:val="00002985"/>
    <w:rsid w:val="00007977"/>
    <w:rsid w:val="0001314C"/>
    <w:rsid w:val="000131A4"/>
    <w:rsid w:val="00014C2D"/>
    <w:rsid w:val="00017F00"/>
    <w:rsid w:val="00026C85"/>
    <w:rsid w:val="00046967"/>
    <w:rsid w:val="00056013"/>
    <w:rsid w:val="000563C8"/>
    <w:rsid w:val="00062FC5"/>
    <w:rsid w:val="0007036C"/>
    <w:rsid w:val="000722F0"/>
    <w:rsid w:val="000768CE"/>
    <w:rsid w:val="00083224"/>
    <w:rsid w:val="00096798"/>
    <w:rsid w:val="000A1A58"/>
    <w:rsid w:val="000A71F3"/>
    <w:rsid w:val="000B0140"/>
    <w:rsid w:val="000B6666"/>
    <w:rsid w:val="000B761F"/>
    <w:rsid w:val="000C1177"/>
    <w:rsid w:val="000C2558"/>
    <w:rsid w:val="000E19CD"/>
    <w:rsid w:val="000E1A87"/>
    <w:rsid w:val="000F4A28"/>
    <w:rsid w:val="00106947"/>
    <w:rsid w:val="00112204"/>
    <w:rsid w:val="00112E9C"/>
    <w:rsid w:val="0011768C"/>
    <w:rsid w:val="0012684E"/>
    <w:rsid w:val="00134E43"/>
    <w:rsid w:val="0013502F"/>
    <w:rsid w:val="00137E44"/>
    <w:rsid w:val="0014068E"/>
    <w:rsid w:val="00144760"/>
    <w:rsid w:val="001612EE"/>
    <w:rsid w:val="00161320"/>
    <w:rsid w:val="001754F3"/>
    <w:rsid w:val="001772BD"/>
    <w:rsid w:val="00182243"/>
    <w:rsid w:val="00185EB4"/>
    <w:rsid w:val="0019483D"/>
    <w:rsid w:val="001A25E7"/>
    <w:rsid w:val="001A74C6"/>
    <w:rsid w:val="001B066B"/>
    <w:rsid w:val="001B3AEC"/>
    <w:rsid w:val="001B40E2"/>
    <w:rsid w:val="001B4CDD"/>
    <w:rsid w:val="001B791F"/>
    <w:rsid w:val="001C2450"/>
    <w:rsid w:val="001D38A9"/>
    <w:rsid w:val="001D5512"/>
    <w:rsid w:val="00202881"/>
    <w:rsid w:val="00207D80"/>
    <w:rsid w:val="00233B72"/>
    <w:rsid w:val="00236941"/>
    <w:rsid w:val="00265B98"/>
    <w:rsid w:val="00271B9E"/>
    <w:rsid w:val="002846F8"/>
    <w:rsid w:val="00285349"/>
    <w:rsid w:val="00285D44"/>
    <w:rsid w:val="00286AEA"/>
    <w:rsid w:val="00287B67"/>
    <w:rsid w:val="0029431A"/>
    <w:rsid w:val="002D1C38"/>
    <w:rsid w:val="002D2E23"/>
    <w:rsid w:val="002D55EE"/>
    <w:rsid w:val="002D5884"/>
    <w:rsid w:val="002D7328"/>
    <w:rsid w:val="002F2988"/>
    <w:rsid w:val="002F2C4E"/>
    <w:rsid w:val="002F5347"/>
    <w:rsid w:val="0030254B"/>
    <w:rsid w:val="00304DE2"/>
    <w:rsid w:val="0030507E"/>
    <w:rsid w:val="003131CD"/>
    <w:rsid w:val="00313FFC"/>
    <w:rsid w:val="003169BF"/>
    <w:rsid w:val="00321AED"/>
    <w:rsid w:val="00324B5E"/>
    <w:rsid w:val="00331D86"/>
    <w:rsid w:val="00337895"/>
    <w:rsid w:val="00341BAC"/>
    <w:rsid w:val="00350F0F"/>
    <w:rsid w:val="003511EA"/>
    <w:rsid w:val="003527B3"/>
    <w:rsid w:val="00353C63"/>
    <w:rsid w:val="0035520A"/>
    <w:rsid w:val="003556B4"/>
    <w:rsid w:val="00360D72"/>
    <w:rsid w:val="00366DA9"/>
    <w:rsid w:val="003747AB"/>
    <w:rsid w:val="003807BD"/>
    <w:rsid w:val="0038198C"/>
    <w:rsid w:val="00383796"/>
    <w:rsid w:val="003A02A6"/>
    <w:rsid w:val="003C08A7"/>
    <w:rsid w:val="003C42C0"/>
    <w:rsid w:val="003D2F8B"/>
    <w:rsid w:val="003D6753"/>
    <w:rsid w:val="003E29D8"/>
    <w:rsid w:val="003F027E"/>
    <w:rsid w:val="003F716E"/>
    <w:rsid w:val="003F73FA"/>
    <w:rsid w:val="004003F1"/>
    <w:rsid w:val="00405629"/>
    <w:rsid w:val="0041179E"/>
    <w:rsid w:val="00411905"/>
    <w:rsid w:val="00427086"/>
    <w:rsid w:val="00427B03"/>
    <w:rsid w:val="00433FA8"/>
    <w:rsid w:val="00436733"/>
    <w:rsid w:val="00450197"/>
    <w:rsid w:val="0045259F"/>
    <w:rsid w:val="00462AAD"/>
    <w:rsid w:val="0048418E"/>
    <w:rsid w:val="004850BB"/>
    <w:rsid w:val="004877BA"/>
    <w:rsid w:val="00493095"/>
    <w:rsid w:val="004A0AD7"/>
    <w:rsid w:val="004A3BC0"/>
    <w:rsid w:val="004B7A3B"/>
    <w:rsid w:val="004D5ABC"/>
    <w:rsid w:val="004E535F"/>
    <w:rsid w:val="004E5E83"/>
    <w:rsid w:val="004E6D11"/>
    <w:rsid w:val="004F23AD"/>
    <w:rsid w:val="004F2B70"/>
    <w:rsid w:val="004F7A7E"/>
    <w:rsid w:val="004F7E2F"/>
    <w:rsid w:val="00503D37"/>
    <w:rsid w:val="00512E7A"/>
    <w:rsid w:val="00527456"/>
    <w:rsid w:val="00530AA7"/>
    <w:rsid w:val="00532267"/>
    <w:rsid w:val="00546F02"/>
    <w:rsid w:val="00556F90"/>
    <w:rsid w:val="0056349D"/>
    <w:rsid w:val="00571307"/>
    <w:rsid w:val="0057242B"/>
    <w:rsid w:val="0057290F"/>
    <w:rsid w:val="00582DE6"/>
    <w:rsid w:val="005858B3"/>
    <w:rsid w:val="005908AA"/>
    <w:rsid w:val="005917B5"/>
    <w:rsid w:val="00592909"/>
    <w:rsid w:val="00593E5C"/>
    <w:rsid w:val="005A123F"/>
    <w:rsid w:val="005C0A64"/>
    <w:rsid w:val="005D11FB"/>
    <w:rsid w:val="005D169B"/>
    <w:rsid w:val="005D67D6"/>
    <w:rsid w:val="005E0747"/>
    <w:rsid w:val="005E295E"/>
    <w:rsid w:val="005E5023"/>
    <w:rsid w:val="005E6E7B"/>
    <w:rsid w:val="00604600"/>
    <w:rsid w:val="00636547"/>
    <w:rsid w:val="006403E6"/>
    <w:rsid w:val="00661691"/>
    <w:rsid w:val="006657C3"/>
    <w:rsid w:val="00671C6E"/>
    <w:rsid w:val="006736C6"/>
    <w:rsid w:val="00677B3D"/>
    <w:rsid w:val="00697F8A"/>
    <w:rsid w:val="006B4369"/>
    <w:rsid w:val="006C43F4"/>
    <w:rsid w:val="006C6AD3"/>
    <w:rsid w:val="006D0542"/>
    <w:rsid w:val="006E34B2"/>
    <w:rsid w:val="006F18BA"/>
    <w:rsid w:val="006F2BFF"/>
    <w:rsid w:val="006F7E88"/>
    <w:rsid w:val="007008F0"/>
    <w:rsid w:val="007114B5"/>
    <w:rsid w:val="00711F3B"/>
    <w:rsid w:val="00712A04"/>
    <w:rsid w:val="00720E76"/>
    <w:rsid w:val="007321CE"/>
    <w:rsid w:val="00732810"/>
    <w:rsid w:val="00754267"/>
    <w:rsid w:val="00757232"/>
    <w:rsid w:val="007576D2"/>
    <w:rsid w:val="00782EFB"/>
    <w:rsid w:val="00784396"/>
    <w:rsid w:val="00790B66"/>
    <w:rsid w:val="007948DE"/>
    <w:rsid w:val="0079738C"/>
    <w:rsid w:val="007A684C"/>
    <w:rsid w:val="007B0404"/>
    <w:rsid w:val="007B2093"/>
    <w:rsid w:val="007C2224"/>
    <w:rsid w:val="007C5859"/>
    <w:rsid w:val="007C6C06"/>
    <w:rsid w:val="007D3796"/>
    <w:rsid w:val="007E26AC"/>
    <w:rsid w:val="007E60D9"/>
    <w:rsid w:val="008058CB"/>
    <w:rsid w:val="00811B56"/>
    <w:rsid w:val="00812A56"/>
    <w:rsid w:val="0081617C"/>
    <w:rsid w:val="0083145F"/>
    <w:rsid w:val="00835831"/>
    <w:rsid w:val="008551E9"/>
    <w:rsid w:val="008559F2"/>
    <w:rsid w:val="0086494E"/>
    <w:rsid w:val="00867C40"/>
    <w:rsid w:val="0087375B"/>
    <w:rsid w:val="00887BD8"/>
    <w:rsid w:val="00891BC2"/>
    <w:rsid w:val="008944B4"/>
    <w:rsid w:val="008A49E5"/>
    <w:rsid w:val="008B173C"/>
    <w:rsid w:val="008B3FF7"/>
    <w:rsid w:val="008B4118"/>
    <w:rsid w:val="008B6B44"/>
    <w:rsid w:val="008D6DF6"/>
    <w:rsid w:val="008E71BE"/>
    <w:rsid w:val="008E774F"/>
    <w:rsid w:val="008F718D"/>
    <w:rsid w:val="009016C7"/>
    <w:rsid w:val="00903D52"/>
    <w:rsid w:val="0090499A"/>
    <w:rsid w:val="00906DAD"/>
    <w:rsid w:val="00910DA5"/>
    <w:rsid w:val="009147F0"/>
    <w:rsid w:val="00916373"/>
    <w:rsid w:val="009204DF"/>
    <w:rsid w:val="009218C9"/>
    <w:rsid w:val="00943B64"/>
    <w:rsid w:val="009526CB"/>
    <w:rsid w:val="00962DA0"/>
    <w:rsid w:val="00967AA2"/>
    <w:rsid w:val="009772E6"/>
    <w:rsid w:val="009824C1"/>
    <w:rsid w:val="00990D38"/>
    <w:rsid w:val="00993AC0"/>
    <w:rsid w:val="00995B07"/>
    <w:rsid w:val="00996507"/>
    <w:rsid w:val="009A1D3D"/>
    <w:rsid w:val="009A2C16"/>
    <w:rsid w:val="009A7EFD"/>
    <w:rsid w:val="009B765C"/>
    <w:rsid w:val="009C3902"/>
    <w:rsid w:val="009D109F"/>
    <w:rsid w:val="009E6F84"/>
    <w:rsid w:val="009F31D9"/>
    <w:rsid w:val="009F66BD"/>
    <w:rsid w:val="009F724D"/>
    <w:rsid w:val="00A066BE"/>
    <w:rsid w:val="00A07D99"/>
    <w:rsid w:val="00A1716F"/>
    <w:rsid w:val="00A25EF2"/>
    <w:rsid w:val="00A34582"/>
    <w:rsid w:val="00A35177"/>
    <w:rsid w:val="00A367AC"/>
    <w:rsid w:val="00A44462"/>
    <w:rsid w:val="00A45CB3"/>
    <w:rsid w:val="00A4720E"/>
    <w:rsid w:val="00A60CFF"/>
    <w:rsid w:val="00A643DA"/>
    <w:rsid w:val="00A90272"/>
    <w:rsid w:val="00AA08B8"/>
    <w:rsid w:val="00AA5AD9"/>
    <w:rsid w:val="00AA7E3E"/>
    <w:rsid w:val="00AB1BE0"/>
    <w:rsid w:val="00AB29CD"/>
    <w:rsid w:val="00AD59E0"/>
    <w:rsid w:val="00AE31D9"/>
    <w:rsid w:val="00AE34DB"/>
    <w:rsid w:val="00AE4E26"/>
    <w:rsid w:val="00AE547D"/>
    <w:rsid w:val="00B03809"/>
    <w:rsid w:val="00B168AE"/>
    <w:rsid w:val="00B174B8"/>
    <w:rsid w:val="00B2228A"/>
    <w:rsid w:val="00B24B04"/>
    <w:rsid w:val="00B25AD3"/>
    <w:rsid w:val="00B3207F"/>
    <w:rsid w:val="00B34461"/>
    <w:rsid w:val="00B43136"/>
    <w:rsid w:val="00B50B94"/>
    <w:rsid w:val="00B60ABC"/>
    <w:rsid w:val="00B65212"/>
    <w:rsid w:val="00B6659D"/>
    <w:rsid w:val="00B84BF8"/>
    <w:rsid w:val="00B90440"/>
    <w:rsid w:val="00BA1EBA"/>
    <w:rsid w:val="00BB4A16"/>
    <w:rsid w:val="00BD4D65"/>
    <w:rsid w:val="00BE1D8A"/>
    <w:rsid w:val="00BE232E"/>
    <w:rsid w:val="00BE476E"/>
    <w:rsid w:val="00C0160B"/>
    <w:rsid w:val="00C1069E"/>
    <w:rsid w:val="00C14DD1"/>
    <w:rsid w:val="00C16D72"/>
    <w:rsid w:val="00C34C8E"/>
    <w:rsid w:val="00C401BD"/>
    <w:rsid w:val="00C45265"/>
    <w:rsid w:val="00C50C92"/>
    <w:rsid w:val="00C51049"/>
    <w:rsid w:val="00C524EF"/>
    <w:rsid w:val="00C5694B"/>
    <w:rsid w:val="00C6042B"/>
    <w:rsid w:val="00C63597"/>
    <w:rsid w:val="00C64FE2"/>
    <w:rsid w:val="00C7213C"/>
    <w:rsid w:val="00C726C9"/>
    <w:rsid w:val="00C73657"/>
    <w:rsid w:val="00C746D6"/>
    <w:rsid w:val="00C74849"/>
    <w:rsid w:val="00C7516F"/>
    <w:rsid w:val="00C76089"/>
    <w:rsid w:val="00C81A6B"/>
    <w:rsid w:val="00C835BA"/>
    <w:rsid w:val="00CA0EE3"/>
    <w:rsid w:val="00CA3801"/>
    <w:rsid w:val="00CC2578"/>
    <w:rsid w:val="00CD1036"/>
    <w:rsid w:val="00CD5B65"/>
    <w:rsid w:val="00D22B18"/>
    <w:rsid w:val="00D2461F"/>
    <w:rsid w:val="00D355FD"/>
    <w:rsid w:val="00D441C7"/>
    <w:rsid w:val="00D60393"/>
    <w:rsid w:val="00D6637D"/>
    <w:rsid w:val="00D72A25"/>
    <w:rsid w:val="00D73758"/>
    <w:rsid w:val="00D747C7"/>
    <w:rsid w:val="00D804E4"/>
    <w:rsid w:val="00D93751"/>
    <w:rsid w:val="00D9410A"/>
    <w:rsid w:val="00D95B29"/>
    <w:rsid w:val="00DA74BC"/>
    <w:rsid w:val="00DB3D5C"/>
    <w:rsid w:val="00DC0C43"/>
    <w:rsid w:val="00DC0C9D"/>
    <w:rsid w:val="00DC1628"/>
    <w:rsid w:val="00DD0384"/>
    <w:rsid w:val="00DE264A"/>
    <w:rsid w:val="00DF6119"/>
    <w:rsid w:val="00E06936"/>
    <w:rsid w:val="00E14388"/>
    <w:rsid w:val="00E157E8"/>
    <w:rsid w:val="00E21BB8"/>
    <w:rsid w:val="00E23F9D"/>
    <w:rsid w:val="00E26F60"/>
    <w:rsid w:val="00E40D68"/>
    <w:rsid w:val="00E413CE"/>
    <w:rsid w:val="00E51DF0"/>
    <w:rsid w:val="00E57359"/>
    <w:rsid w:val="00E630B8"/>
    <w:rsid w:val="00E6715B"/>
    <w:rsid w:val="00E73E34"/>
    <w:rsid w:val="00E93160"/>
    <w:rsid w:val="00EA0058"/>
    <w:rsid w:val="00EA0517"/>
    <w:rsid w:val="00EB11DA"/>
    <w:rsid w:val="00EB4435"/>
    <w:rsid w:val="00EC739D"/>
    <w:rsid w:val="00ED543A"/>
    <w:rsid w:val="00ED5E9A"/>
    <w:rsid w:val="00EE15EF"/>
    <w:rsid w:val="00EF1B9B"/>
    <w:rsid w:val="00EF264C"/>
    <w:rsid w:val="00EF4CEF"/>
    <w:rsid w:val="00EF64D2"/>
    <w:rsid w:val="00F35587"/>
    <w:rsid w:val="00F37FF9"/>
    <w:rsid w:val="00F42FBA"/>
    <w:rsid w:val="00F514CB"/>
    <w:rsid w:val="00F5231E"/>
    <w:rsid w:val="00F64C66"/>
    <w:rsid w:val="00F874DE"/>
    <w:rsid w:val="00F932B4"/>
    <w:rsid w:val="00FA45C2"/>
    <w:rsid w:val="00FB3CF6"/>
    <w:rsid w:val="00FC1094"/>
    <w:rsid w:val="00FC133B"/>
    <w:rsid w:val="00FC488B"/>
    <w:rsid w:val="00FC6D12"/>
    <w:rsid w:val="00FD05FA"/>
    <w:rsid w:val="00FD18A8"/>
    <w:rsid w:val="00FD4E52"/>
    <w:rsid w:val="00FD5029"/>
    <w:rsid w:val="00FE0342"/>
    <w:rsid w:val="00FE2340"/>
    <w:rsid w:val="00FF194F"/>
    <w:rsid w:val="00FF307B"/>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EA"/>
  </w:style>
  <w:style w:type="paragraph" w:styleId="1">
    <w:name w:val="heading 1"/>
    <w:basedOn w:val="a"/>
    <w:next w:val="a"/>
    <w:link w:val="10"/>
    <w:uiPriority w:val="9"/>
    <w:qFormat/>
    <w:rsid w:val="00EB4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43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1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EA"/>
    <w:rPr>
      <w:rFonts w:ascii="Tahoma" w:hAnsi="Tahoma" w:cs="Tahoma"/>
      <w:sz w:val="16"/>
      <w:szCs w:val="16"/>
    </w:rPr>
  </w:style>
  <w:style w:type="character" w:styleId="a5">
    <w:name w:val="Hyperlink"/>
    <w:uiPriority w:val="99"/>
    <w:unhideWhenUsed/>
    <w:rsid w:val="0001314C"/>
    <w:rPr>
      <w:color w:val="0000FF"/>
      <w:u w:val="single"/>
    </w:rPr>
  </w:style>
  <w:style w:type="paragraph" w:styleId="a6">
    <w:name w:val="header"/>
    <w:basedOn w:val="a"/>
    <w:link w:val="a7"/>
    <w:uiPriority w:val="99"/>
    <w:unhideWhenUsed/>
    <w:rsid w:val="00AD59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59E0"/>
  </w:style>
  <w:style w:type="paragraph" w:styleId="a8">
    <w:name w:val="footer"/>
    <w:basedOn w:val="a"/>
    <w:link w:val="a9"/>
    <w:uiPriority w:val="99"/>
    <w:unhideWhenUsed/>
    <w:rsid w:val="00AD59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59E0"/>
  </w:style>
  <w:style w:type="paragraph" w:styleId="aa">
    <w:name w:val="List Paragraph"/>
    <w:basedOn w:val="a"/>
    <w:uiPriority w:val="34"/>
    <w:qFormat/>
    <w:rsid w:val="009218C9"/>
    <w:pPr>
      <w:ind w:left="720"/>
      <w:contextualSpacing/>
    </w:pPr>
  </w:style>
  <w:style w:type="paragraph" w:styleId="ab">
    <w:name w:val="Body Text"/>
    <w:basedOn w:val="a"/>
    <w:link w:val="ac"/>
    <w:unhideWhenUsed/>
    <w:rsid w:val="003C42C0"/>
    <w:pPr>
      <w:spacing w:after="0" w:line="240" w:lineRule="auto"/>
      <w:jc w:val="both"/>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rsid w:val="003C42C0"/>
    <w:rPr>
      <w:rFonts w:ascii="Times New Roman" w:eastAsia="Times New Roman" w:hAnsi="Times New Roman" w:cs="Times New Roman"/>
      <w:sz w:val="24"/>
      <w:szCs w:val="24"/>
      <w:lang w:val="x-none" w:eastAsia="ru-RU"/>
    </w:rPr>
  </w:style>
  <w:style w:type="character" w:styleId="ad">
    <w:name w:val="FollowedHyperlink"/>
    <w:basedOn w:val="a0"/>
    <w:uiPriority w:val="99"/>
    <w:semiHidden/>
    <w:unhideWhenUsed/>
    <w:rsid w:val="008D6DF6"/>
    <w:rPr>
      <w:color w:val="800080"/>
      <w:u w:val="single"/>
    </w:rPr>
  </w:style>
  <w:style w:type="paragraph" w:customStyle="1" w:styleId="xl77">
    <w:name w:val="xl7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8D6D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8D6DF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8D6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8D6DF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8D6D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8D6D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4">
    <w:name w:val="xl84"/>
    <w:basedOn w:val="a"/>
    <w:rsid w:val="008D6D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8D6D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8">
    <w:name w:val="xl88"/>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styleId="ae">
    <w:name w:val="footnote text"/>
    <w:basedOn w:val="a"/>
    <w:link w:val="af"/>
    <w:uiPriority w:val="99"/>
    <w:semiHidden/>
    <w:unhideWhenUsed/>
    <w:rsid w:val="00056013"/>
    <w:pPr>
      <w:spacing w:after="0" w:line="240" w:lineRule="auto"/>
    </w:pPr>
    <w:rPr>
      <w:sz w:val="20"/>
      <w:szCs w:val="20"/>
    </w:rPr>
  </w:style>
  <w:style w:type="character" w:customStyle="1" w:styleId="af">
    <w:name w:val="Текст сноски Знак"/>
    <w:basedOn w:val="a0"/>
    <w:link w:val="ae"/>
    <w:uiPriority w:val="99"/>
    <w:semiHidden/>
    <w:rsid w:val="00056013"/>
    <w:rPr>
      <w:sz w:val="20"/>
      <w:szCs w:val="20"/>
    </w:rPr>
  </w:style>
  <w:style w:type="character" w:styleId="af0">
    <w:name w:val="footnote reference"/>
    <w:aliases w:val="Знак сноски 1,Знак сноски-FN,Ciae niinee-FN,SUPERS,Referencia nota al pie,fr,Used by Word for Help footnote symbols"/>
    <w:uiPriority w:val="99"/>
    <w:unhideWhenUsed/>
    <w:rsid w:val="00056013"/>
    <w:rPr>
      <w:rFonts w:cs="Times New Roman"/>
      <w:vertAlign w:val="superscript"/>
    </w:rPr>
  </w:style>
  <w:style w:type="numbering" w:customStyle="1" w:styleId="11">
    <w:name w:val="Нет списка1"/>
    <w:next w:val="a2"/>
    <w:uiPriority w:val="99"/>
    <w:semiHidden/>
    <w:unhideWhenUsed/>
    <w:rsid w:val="00D9410A"/>
  </w:style>
  <w:style w:type="paragraph" w:customStyle="1" w:styleId="xl94">
    <w:name w:val="xl94"/>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onsPlusNormal">
    <w:name w:val="ConsPlusNormal"/>
    <w:rsid w:val="003F027E"/>
    <w:pPr>
      <w:widowControl w:val="0"/>
      <w:autoSpaceDE w:val="0"/>
      <w:autoSpaceDN w:val="0"/>
      <w:spacing w:after="0" w:line="240" w:lineRule="auto"/>
    </w:pPr>
    <w:rPr>
      <w:rFonts w:ascii="Calibri" w:eastAsia="Times New Roman" w:hAnsi="Calibri" w:cs="Calibri"/>
      <w:szCs w:val="20"/>
      <w:lang w:eastAsia="ru-RU"/>
    </w:rPr>
  </w:style>
  <w:style w:type="paragraph" w:customStyle="1" w:styleId="xl96">
    <w:name w:val="xl96"/>
    <w:basedOn w:val="a"/>
    <w:rsid w:val="00202881"/>
    <w:pPr>
      <w:pBdr>
        <w:top w:val="single" w:sz="4" w:space="0" w:color="auto"/>
        <w:left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202881"/>
    <w:pPr>
      <w:pBdr>
        <w:top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20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20288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20288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2028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2028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2028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2028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styleId="af1">
    <w:name w:val="annotation reference"/>
    <w:basedOn w:val="a0"/>
    <w:uiPriority w:val="99"/>
    <w:semiHidden/>
    <w:unhideWhenUsed/>
    <w:rsid w:val="001B791F"/>
    <w:rPr>
      <w:sz w:val="16"/>
      <w:szCs w:val="16"/>
    </w:rPr>
  </w:style>
  <w:style w:type="paragraph" w:styleId="af2">
    <w:name w:val="annotation text"/>
    <w:basedOn w:val="a"/>
    <w:link w:val="af3"/>
    <w:uiPriority w:val="99"/>
    <w:semiHidden/>
    <w:unhideWhenUsed/>
    <w:rsid w:val="001B791F"/>
    <w:pPr>
      <w:spacing w:line="240" w:lineRule="auto"/>
    </w:pPr>
    <w:rPr>
      <w:sz w:val="20"/>
      <w:szCs w:val="20"/>
    </w:rPr>
  </w:style>
  <w:style w:type="character" w:customStyle="1" w:styleId="af3">
    <w:name w:val="Текст примечания Знак"/>
    <w:basedOn w:val="a0"/>
    <w:link w:val="af2"/>
    <w:uiPriority w:val="99"/>
    <w:semiHidden/>
    <w:rsid w:val="001B791F"/>
    <w:rPr>
      <w:sz w:val="20"/>
      <w:szCs w:val="20"/>
    </w:rPr>
  </w:style>
  <w:style w:type="paragraph" w:styleId="af4">
    <w:name w:val="annotation subject"/>
    <w:basedOn w:val="af2"/>
    <w:next w:val="af2"/>
    <w:link w:val="af5"/>
    <w:uiPriority w:val="99"/>
    <w:semiHidden/>
    <w:unhideWhenUsed/>
    <w:rsid w:val="001B791F"/>
    <w:rPr>
      <w:b/>
      <w:bCs/>
    </w:rPr>
  </w:style>
  <w:style w:type="character" w:customStyle="1" w:styleId="af5">
    <w:name w:val="Тема примечания Знак"/>
    <w:basedOn w:val="af3"/>
    <w:link w:val="af4"/>
    <w:uiPriority w:val="99"/>
    <w:semiHidden/>
    <w:rsid w:val="001B791F"/>
    <w:rPr>
      <w:b/>
      <w:bCs/>
      <w:sz w:val="20"/>
      <w:szCs w:val="20"/>
    </w:rPr>
  </w:style>
  <w:style w:type="table" w:styleId="af6">
    <w:name w:val="Table Grid"/>
    <w:basedOn w:val="a1"/>
    <w:uiPriority w:val="59"/>
    <w:rsid w:val="00D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EA"/>
  </w:style>
  <w:style w:type="paragraph" w:styleId="1">
    <w:name w:val="heading 1"/>
    <w:basedOn w:val="a"/>
    <w:next w:val="a"/>
    <w:link w:val="10"/>
    <w:uiPriority w:val="9"/>
    <w:qFormat/>
    <w:rsid w:val="00EB4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43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1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EA"/>
    <w:rPr>
      <w:rFonts w:ascii="Tahoma" w:hAnsi="Tahoma" w:cs="Tahoma"/>
      <w:sz w:val="16"/>
      <w:szCs w:val="16"/>
    </w:rPr>
  </w:style>
  <w:style w:type="character" w:styleId="a5">
    <w:name w:val="Hyperlink"/>
    <w:uiPriority w:val="99"/>
    <w:unhideWhenUsed/>
    <w:rsid w:val="0001314C"/>
    <w:rPr>
      <w:color w:val="0000FF"/>
      <w:u w:val="single"/>
    </w:rPr>
  </w:style>
  <w:style w:type="paragraph" w:styleId="a6">
    <w:name w:val="header"/>
    <w:basedOn w:val="a"/>
    <w:link w:val="a7"/>
    <w:uiPriority w:val="99"/>
    <w:unhideWhenUsed/>
    <w:rsid w:val="00AD59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59E0"/>
  </w:style>
  <w:style w:type="paragraph" w:styleId="a8">
    <w:name w:val="footer"/>
    <w:basedOn w:val="a"/>
    <w:link w:val="a9"/>
    <w:uiPriority w:val="99"/>
    <w:unhideWhenUsed/>
    <w:rsid w:val="00AD59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59E0"/>
  </w:style>
  <w:style w:type="paragraph" w:styleId="aa">
    <w:name w:val="List Paragraph"/>
    <w:basedOn w:val="a"/>
    <w:uiPriority w:val="34"/>
    <w:qFormat/>
    <w:rsid w:val="009218C9"/>
    <w:pPr>
      <w:ind w:left="720"/>
      <w:contextualSpacing/>
    </w:pPr>
  </w:style>
  <w:style w:type="paragraph" w:styleId="ab">
    <w:name w:val="Body Text"/>
    <w:basedOn w:val="a"/>
    <w:link w:val="ac"/>
    <w:unhideWhenUsed/>
    <w:rsid w:val="003C42C0"/>
    <w:pPr>
      <w:spacing w:after="0" w:line="240" w:lineRule="auto"/>
      <w:jc w:val="both"/>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rsid w:val="003C42C0"/>
    <w:rPr>
      <w:rFonts w:ascii="Times New Roman" w:eastAsia="Times New Roman" w:hAnsi="Times New Roman" w:cs="Times New Roman"/>
      <w:sz w:val="24"/>
      <w:szCs w:val="24"/>
      <w:lang w:val="x-none" w:eastAsia="ru-RU"/>
    </w:rPr>
  </w:style>
  <w:style w:type="character" w:styleId="ad">
    <w:name w:val="FollowedHyperlink"/>
    <w:basedOn w:val="a0"/>
    <w:uiPriority w:val="99"/>
    <w:semiHidden/>
    <w:unhideWhenUsed/>
    <w:rsid w:val="008D6DF6"/>
    <w:rPr>
      <w:color w:val="800080"/>
      <w:u w:val="single"/>
    </w:rPr>
  </w:style>
  <w:style w:type="paragraph" w:customStyle="1" w:styleId="xl77">
    <w:name w:val="xl7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8D6D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8D6DF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8D6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8D6DF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8D6D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8D6D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4">
    <w:name w:val="xl84"/>
    <w:basedOn w:val="a"/>
    <w:rsid w:val="008D6D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8D6D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8">
    <w:name w:val="xl88"/>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styleId="ae">
    <w:name w:val="footnote text"/>
    <w:basedOn w:val="a"/>
    <w:link w:val="af"/>
    <w:uiPriority w:val="99"/>
    <w:semiHidden/>
    <w:unhideWhenUsed/>
    <w:rsid w:val="00056013"/>
    <w:pPr>
      <w:spacing w:after="0" w:line="240" w:lineRule="auto"/>
    </w:pPr>
    <w:rPr>
      <w:sz w:val="20"/>
      <w:szCs w:val="20"/>
    </w:rPr>
  </w:style>
  <w:style w:type="character" w:customStyle="1" w:styleId="af">
    <w:name w:val="Текст сноски Знак"/>
    <w:basedOn w:val="a0"/>
    <w:link w:val="ae"/>
    <w:uiPriority w:val="99"/>
    <w:semiHidden/>
    <w:rsid w:val="00056013"/>
    <w:rPr>
      <w:sz w:val="20"/>
      <w:szCs w:val="20"/>
    </w:rPr>
  </w:style>
  <w:style w:type="character" w:styleId="af0">
    <w:name w:val="footnote reference"/>
    <w:aliases w:val="Знак сноски 1,Знак сноски-FN,Ciae niinee-FN,SUPERS,Referencia nota al pie,fr,Used by Word for Help footnote symbols"/>
    <w:uiPriority w:val="99"/>
    <w:unhideWhenUsed/>
    <w:rsid w:val="00056013"/>
    <w:rPr>
      <w:rFonts w:cs="Times New Roman"/>
      <w:vertAlign w:val="superscript"/>
    </w:rPr>
  </w:style>
  <w:style w:type="numbering" w:customStyle="1" w:styleId="11">
    <w:name w:val="Нет списка1"/>
    <w:next w:val="a2"/>
    <w:uiPriority w:val="99"/>
    <w:semiHidden/>
    <w:unhideWhenUsed/>
    <w:rsid w:val="00D9410A"/>
  </w:style>
  <w:style w:type="paragraph" w:customStyle="1" w:styleId="xl94">
    <w:name w:val="xl94"/>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onsPlusNormal">
    <w:name w:val="ConsPlusNormal"/>
    <w:rsid w:val="003F027E"/>
    <w:pPr>
      <w:widowControl w:val="0"/>
      <w:autoSpaceDE w:val="0"/>
      <w:autoSpaceDN w:val="0"/>
      <w:spacing w:after="0" w:line="240" w:lineRule="auto"/>
    </w:pPr>
    <w:rPr>
      <w:rFonts w:ascii="Calibri" w:eastAsia="Times New Roman" w:hAnsi="Calibri" w:cs="Calibri"/>
      <w:szCs w:val="20"/>
      <w:lang w:eastAsia="ru-RU"/>
    </w:rPr>
  </w:style>
  <w:style w:type="paragraph" w:customStyle="1" w:styleId="xl96">
    <w:name w:val="xl96"/>
    <w:basedOn w:val="a"/>
    <w:rsid w:val="00202881"/>
    <w:pPr>
      <w:pBdr>
        <w:top w:val="single" w:sz="4" w:space="0" w:color="auto"/>
        <w:left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202881"/>
    <w:pPr>
      <w:pBdr>
        <w:top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20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20288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20288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2028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2028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2028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2028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styleId="af1">
    <w:name w:val="annotation reference"/>
    <w:basedOn w:val="a0"/>
    <w:uiPriority w:val="99"/>
    <w:semiHidden/>
    <w:unhideWhenUsed/>
    <w:rsid w:val="001B791F"/>
    <w:rPr>
      <w:sz w:val="16"/>
      <w:szCs w:val="16"/>
    </w:rPr>
  </w:style>
  <w:style w:type="paragraph" w:styleId="af2">
    <w:name w:val="annotation text"/>
    <w:basedOn w:val="a"/>
    <w:link w:val="af3"/>
    <w:uiPriority w:val="99"/>
    <w:semiHidden/>
    <w:unhideWhenUsed/>
    <w:rsid w:val="001B791F"/>
    <w:pPr>
      <w:spacing w:line="240" w:lineRule="auto"/>
    </w:pPr>
    <w:rPr>
      <w:sz w:val="20"/>
      <w:szCs w:val="20"/>
    </w:rPr>
  </w:style>
  <w:style w:type="character" w:customStyle="1" w:styleId="af3">
    <w:name w:val="Текст примечания Знак"/>
    <w:basedOn w:val="a0"/>
    <w:link w:val="af2"/>
    <w:uiPriority w:val="99"/>
    <w:semiHidden/>
    <w:rsid w:val="001B791F"/>
    <w:rPr>
      <w:sz w:val="20"/>
      <w:szCs w:val="20"/>
    </w:rPr>
  </w:style>
  <w:style w:type="paragraph" w:styleId="af4">
    <w:name w:val="annotation subject"/>
    <w:basedOn w:val="af2"/>
    <w:next w:val="af2"/>
    <w:link w:val="af5"/>
    <w:uiPriority w:val="99"/>
    <w:semiHidden/>
    <w:unhideWhenUsed/>
    <w:rsid w:val="001B791F"/>
    <w:rPr>
      <w:b/>
      <w:bCs/>
    </w:rPr>
  </w:style>
  <w:style w:type="character" w:customStyle="1" w:styleId="af5">
    <w:name w:val="Тема примечания Знак"/>
    <w:basedOn w:val="af3"/>
    <w:link w:val="af4"/>
    <w:uiPriority w:val="99"/>
    <w:semiHidden/>
    <w:rsid w:val="001B791F"/>
    <w:rPr>
      <w:b/>
      <w:bCs/>
      <w:sz w:val="20"/>
      <w:szCs w:val="20"/>
    </w:rPr>
  </w:style>
  <w:style w:type="table" w:styleId="af6">
    <w:name w:val="Table Grid"/>
    <w:basedOn w:val="a1"/>
    <w:uiPriority w:val="59"/>
    <w:rsid w:val="00D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970">
      <w:bodyDiv w:val="1"/>
      <w:marLeft w:val="0"/>
      <w:marRight w:val="0"/>
      <w:marTop w:val="0"/>
      <w:marBottom w:val="0"/>
      <w:divBdr>
        <w:top w:val="none" w:sz="0" w:space="0" w:color="auto"/>
        <w:left w:val="none" w:sz="0" w:space="0" w:color="auto"/>
        <w:bottom w:val="none" w:sz="0" w:space="0" w:color="auto"/>
        <w:right w:val="none" w:sz="0" w:space="0" w:color="auto"/>
      </w:divBdr>
    </w:div>
    <w:div w:id="217131293">
      <w:bodyDiv w:val="1"/>
      <w:marLeft w:val="0"/>
      <w:marRight w:val="0"/>
      <w:marTop w:val="0"/>
      <w:marBottom w:val="0"/>
      <w:divBdr>
        <w:top w:val="none" w:sz="0" w:space="0" w:color="auto"/>
        <w:left w:val="none" w:sz="0" w:space="0" w:color="auto"/>
        <w:bottom w:val="none" w:sz="0" w:space="0" w:color="auto"/>
        <w:right w:val="none" w:sz="0" w:space="0" w:color="auto"/>
      </w:divBdr>
    </w:div>
    <w:div w:id="303707292">
      <w:bodyDiv w:val="1"/>
      <w:marLeft w:val="0"/>
      <w:marRight w:val="0"/>
      <w:marTop w:val="0"/>
      <w:marBottom w:val="0"/>
      <w:divBdr>
        <w:top w:val="none" w:sz="0" w:space="0" w:color="auto"/>
        <w:left w:val="none" w:sz="0" w:space="0" w:color="auto"/>
        <w:bottom w:val="none" w:sz="0" w:space="0" w:color="auto"/>
        <w:right w:val="none" w:sz="0" w:space="0" w:color="auto"/>
      </w:divBdr>
    </w:div>
    <w:div w:id="483543760">
      <w:bodyDiv w:val="1"/>
      <w:marLeft w:val="0"/>
      <w:marRight w:val="0"/>
      <w:marTop w:val="0"/>
      <w:marBottom w:val="0"/>
      <w:divBdr>
        <w:top w:val="none" w:sz="0" w:space="0" w:color="auto"/>
        <w:left w:val="none" w:sz="0" w:space="0" w:color="auto"/>
        <w:bottom w:val="none" w:sz="0" w:space="0" w:color="auto"/>
        <w:right w:val="none" w:sz="0" w:space="0" w:color="auto"/>
      </w:divBdr>
    </w:div>
    <w:div w:id="550265196">
      <w:bodyDiv w:val="1"/>
      <w:marLeft w:val="0"/>
      <w:marRight w:val="0"/>
      <w:marTop w:val="0"/>
      <w:marBottom w:val="0"/>
      <w:divBdr>
        <w:top w:val="none" w:sz="0" w:space="0" w:color="auto"/>
        <w:left w:val="none" w:sz="0" w:space="0" w:color="auto"/>
        <w:bottom w:val="none" w:sz="0" w:space="0" w:color="auto"/>
        <w:right w:val="none" w:sz="0" w:space="0" w:color="auto"/>
      </w:divBdr>
    </w:div>
    <w:div w:id="645814258">
      <w:bodyDiv w:val="1"/>
      <w:marLeft w:val="0"/>
      <w:marRight w:val="0"/>
      <w:marTop w:val="0"/>
      <w:marBottom w:val="0"/>
      <w:divBdr>
        <w:top w:val="none" w:sz="0" w:space="0" w:color="auto"/>
        <w:left w:val="none" w:sz="0" w:space="0" w:color="auto"/>
        <w:bottom w:val="none" w:sz="0" w:space="0" w:color="auto"/>
        <w:right w:val="none" w:sz="0" w:space="0" w:color="auto"/>
      </w:divBdr>
    </w:div>
    <w:div w:id="730616114">
      <w:bodyDiv w:val="1"/>
      <w:marLeft w:val="0"/>
      <w:marRight w:val="0"/>
      <w:marTop w:val="0"/>
      <w:marBottom w:val="0"/>
      <w:divBdr>
        <w:top w:val="none" w:sz="0" w:space="0" w:color="auto"/>
        <w:left w:val="none" w:sz="0" w:space="0" w:color="auto"/>
        <w:bottom w:val="none" w:sz="0" w:space="0" w:color="auto"/>
        <w:right w:val="none" w:sz="0" w:space="0" w:color="auto"/>
      </w:divBdr>
    </w:div>
    <w:div w:id="994801863">
      <w:bodyDiv w:val="1"/>
      <w:marLeft w:val="0"/>
      <w:marRight w:val="0"/>
      <w:marTop w:val="0"/>
      <w:marBottom w:val="0"/>
      <w:divBdr>
        <w:top w:val="none" w:sz="0" w:space="0" w:color="auto"/>
        <w:left w:val="none" w:sz="0" w:space="0" w:color="auto"/>
        <w:bottom w:val="none" w:sz="0" w:space="0" w:color="auto"/>
        <w:right w:val="none" w:sz="0" w:space="0" w:color="auto"/>
      </w:divBdr>
    </w:div>
    <w:div w:id="1084300873">
      <w:bodyDiv w:val="1"/>
      <w:marLeft w:val="0"/>
      <w:marRight w:val="0"/>
      <w:marTop w:val="0"/>
      <w:marBottom w:val="0"/>
      <w:divBdr>
        <w:top w:val="none" w:sz="0" w:space="0" w:color="auto"/>
        <w:left w:val="none" w:sz="0" w:space="0" w:color="auto"/>
        <w:bottom w:val="none" w:sz="0" w:space="0" w:color="auto"/>
        <w:right w:val="none" w:sz="0" w:space="0" w:color="auto"/>
      </w:divBdr>
    </w:div>
    <w:div w:id="1515921542">
      <w:bodyDiv w:val="1"/>
      <w:marLeft w:val="0"/>
      <w:marRight w:val="0"/>
      <w:marTop w:val="0"/>
      <w:marBottom w:val="0"/>
      <w:divBdr>
        <w:top w:val="none" w:sz="0" w:space="0" w:color="auto"/>
        <w:left w:val="none" w:sz="0" w:space="0" w:color="auto"/>
        <w:bottom w:val="none" w:sz="0" w:space="0" w:color="auto"/>
        <w:right w:val="none" w:sz="0" w:space="0" w:color="auto"/>
      </w:divBdr>
    </w:div>
    <w:div w:id="1541438133">
      <w:bodyDiv w:val="1"/>
      <w:marLeft w:val="0"/>
      <w:marRight w:val="0"/>
      <w:marTop w:val="0"/>
      <w:marBottom w:val="0"/>
      <w:divBdr>
        <w:top w:val="none" w:sz="0" w:space="0" w:color="auto"/>
        <w:left w:val="none" w:sz="0" w:space="0" w:color="auto"/>
        <w:bottom w:val="none" w:sz="0" w:space="0" w:color="auto"/>
        <w:right w:val="none" w:sz="0" w:space="0" w:color="auto"/>
      </w:divBdr>
    </w:div>
    <w:div w:id="1554075554">
      <w:bodyDiv w:val="1"/>
      <w:marLeft w:val="0"/>
      <w:marRight w:val="0"/>
      <w:marTop w:val="0"/>
      <w:marBottom w:val="0"/>
      <w:divBdr>
        <w:top w:val="none" w:sz="0" w:space="0" w:color="auto"/>
        <w:left w:val="none" w:sz="0" w:space="0" w:color="auto"/>
        <w:bottom w:val="none" w:sz="0" w:space="0" w:color="auto"/>
        <w:right w:val="none" w:sz="0" w:space="0" w:color="auto"/>
      </w:divBdr>
    </w:div>
    <w:div w:id="1712419841">
      <w:bodyDiv w:val="1"/>
      <w:marLeft w:val="0"/>
      <w:marRight w:val="0"/>
      <w:marTop w:val="0"/>
      <w:marBottom w:val="0"/>
      <w:divBdr>
        <w:top w:val="none" w:sz="0" w:space="0" w:color="auto"/>
        <w:left w:val="none" w:sz="0" w:space="0" w:color="auto"/>
        <w:bottom w:val="none" w:sz="0" w:space="0" w:color="auto"/>
        <w:right w:val="none" w:sz="0" w:space="0" w:color="auto"/>
      </w:divBdr>
    </w:div>
    <w:div w:id="17721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hart" Target="charts/chart11.xml"/><Relationship Id="rId10" Type="http://schemas.openxmlformats.org/officeDocument/2006/relationships/chart" Target="charts/chart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0.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1059;&#1087;&#1088;&#1072;&#1074;&#1083;&#1077;&#1085;&#1080;&#1077;%20&#1101;&#1082;&#1086;&#1085;&#1086;&#1084;&#1080;&#1095;&#1077;&#1089;&#1082;&#1086;&#1075;&#1086;%20&#1088;&#1072;&#1079;&#1074;&#1080;&#1090;&#1080;&#1103;\&#1057;&#1080;&#1084;&#1086;&#1085;&#1095;&#1091;&#1082;\&#1087;&#1086;%20&#1086;&#1090;&#1095;&#1077;&#1090;&#1091;%20&#1043;&#1083;&#1072;&#1074;&#1099;%20&#1079;&#1072;%202016%20&#1075;&#1086;&#1076;\&#1076;&#1080;&#1072;&#1075;&#1088;&#1072;&#1084;&#1084;&#107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2" Type="http://schemas.openxmlformats.org/officeDocument/2006/relationships/oleObject" Target="file:///C:\Users\KornevaOU\AppData\Local\Microsoft\Windows\Temporary%20Internet%20Files\Content.Outlook\UE0LKFWY\&#1044;&#1080;&#1072;&#1075;&#1088;&#1072;&#1084;&#1084;&#1099;.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ksimchukPA\AppData\Local\Microsoft\Windows\Temporary%20Internet%20Files\Content.Outlook\HZPEIUHV\&#1044;&#1080;&#1072;&#1075;&#1088;&#1072;&#1084;&#1084;%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ksimchukPA\AppData\Local\Microsoft\Windows\Temporary%20Internet%20Files\Content.Outlook\HZPEIUHV\&#1044;&#1080;&#1072;&#1075;&#1088;&#1072;&#1084;&#1084;%20201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1056;&#1040;&#1041;&#1054;&#1058;&#1040;\&#1054;&#1090;&#1095;&#1077;&#1090;&#1099;%20&#1082;%20&#1089;&#1086;&#1074;&#1077;&#1097;&#1072;&#1085;&#1080;&#1103;&#1084;\!!!%20&#1054;&#1090;&#1095;&#1077;&#1090;%20&#1043;&#1083;&#1072;&#1074;&#1099;\&#1044;&#1080;&#1072;&#1075;&#1088;&#1072;&#1084;&#1084;%202017.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latin typeface="Times New Roman" panose="02020603050405020304" pitchFamily="18" charset="0"/>
                <a:cs typeface="Times New Roman" panose="02020603050405020304" pitchFamily="18" charset="0"/>
              </a:rPr>
              <a:t>Динамика рождаемости и смертности</a:t>
            </a:r>
          </a:p>
        </c:rich>
      </c:tx>
      <c:layout>
        <c:manualLayout>
          <c:xMode val="edge"/>
          <c:yMode val="edge"/>
          <c:x val="0.14871754114847793"/>
          <c:y val="1.627476565429321E-2"/>
        </c:manualLayout>
      </c:layout>
      <c:overlay val="0"/>
    </c:title>
    <c:autoTitleDeleted val="0"/>
    <c:plotArea>
      <c:layout>
        <c:manualLayout>
          <c:layoutTarget val="inner"/>
          <c:xMode val="edge"/>
          <c:yMode val="edge"/>
          <c:x val="6.5691171781097457E-2"/>
          <c:y val="0.11761259842519686"/>
          <c:w val="0.87681565972477737"/>
          <c:h val="0.54446134233220844"/>
        </c:manualLayout>
      </c:layout>
      <c:barChart>
        <c:barDir val="col"/>
        <c:grouping val="clustered"/>
        <c:varyColors val="0"/>
        <c:ser>
          <c:idx val="1"/>
          <c:order val="1"/>
          <c:tx>
            <c:strRef>
              <c:f>Лист1!$A$5</c:f>
              <c:strCache>
                <c:ptCount val="1"/>
                <c:pt idx="0">
                  <c:v>Коэффициент рождаемости в городе Ханты-Мансийске</c:v>
                </c:pt>
              </c:strCache>
            </c:strRef>
          </c:tx>
          <c:spPr>
            <a:solidFill>
              <a:srgbClr val="92D050"/>
            </a:solidFill>
            <a:scene3d>
              <a:camera prst="orthographicFront"/>
              <a:lightRig rig="threePt" dir="t"/>
            </a:scene3d>
            <a:sp3d>
              <a:bevelT/>
            </a:sp3d>
          </c:spPr>
          <c:invertIfNegative val="0"/>
          <c:dLbls>
            <c:dLbl>
              <c:idx val="0"/>
              <c:layout>
                <c:manualLayout>
                  <c:x val="-1.1386328533951027E-3"/>
                  <c:y val="0.11523233286844292"/>
                </c:manualLayout>
              </c:layout>
              <c:showLegendKey val="0"/>
              <c:showVal val="1"/>
              <c:showCatName val="0"/>
              <c:showSerName val="0"/>
              <c:showPercent val="0"/>
              <c:showBubbleSize val="0"/>
            </c:dLbl>
            <c:dLbl>
              <c:idx val="1"/>
              <c:layout>
                <c:manualLayout>
                  <c:x val="-2.1498643457922182E-3"/>
                  <c:y val="8.1463304356260757E-2"/>
                </c:manualLayout>
              </c:layout>
              <c:showLegendKey val="0"/>
              <c:showVal val="1"/>
              <c:showCatName val="0"/>
              <c:showSerName val="0"/>
              <c:showPercent val="0"/>
              <c:showBubbleSize val="0"/>
            </c:dLbl>
            <c:dLbl>
              <c:idx val="2"/>
              <c:layout>
                <c:manualLayout>
                  <c:x val="-2.4046670677881515E-3"/>
                  <c:y val="8.3441778957574E-2"/>
                </c:manualLayout>
              </c:layout>
              <c:showLegendKey val="0"/>
              <c:showVal val="1"/>
              <c:showCatName val="0"/>
              <c:showSerName val="0"/>
              <c:showPercent val="0"/>
              <c:showBubbleSize val="0"/>
            </c:dLbl>
            <c:dLbl>
              <c:idx val="3"/>
              <c:layout>
                <c:manualLayout>
                  <c:x val="-2.2772657067902055E-3"/>
                  <c:y val="7.3515664906869463E-2"/>
                </c:manualLayout>
              </c:layout>
              <c:showLegendKey val="0"/>
              <c:showVal val="1"/>
              <c:showCatName val="0"/>
              <c:showSerName val="0"/>
              <c:showPercent val="0"/>
              <c:showBubbleSize val="0"/>
            </c:dLbl>
            <c:dLbl>
              <c:idx val="4"/>
              <c:layout>
                <c:manualLayout>
                  <c:x val="-1.0112314923971153E-3"/>
                  <c:y val="7.9476463332495931E-2"/>
                </c:manualLayout>
              </c:layout>
              <c:showLegendKey val="0"/>
              <c:showVal val="1"/>
              <c:showCatName val="0"/>
              <c:showSerName val="0"/>
              <c:showPercent val="0"/>
              <c:showBubbleSize val="0"/>
            </c:dLbl>
            <c:dLbl>
              <c:idx val="5"/>
              <c:layout>
                <c:manualLayout>
                  <c:x val="0"/>
                  <c:y val="7.550257476921729E-2"/>
                </c:manualLayout>
              </c:layout>
              <c:showLegendKey val="0"/>
              <c:showVal val="1"/>
              <c:showCatName val="0"/>
              <c:showSerName val="0"/>
              <c:showPercent val="0"/>
              <c:showBubbleSize val="0"/>
            </c:dLbl>
            <c:dLbl>
              <c:idx val="6"/>
              <c:layout>
                <c:manualLayout>
                  <c:x val="-2.547130658657864E-4"/>
                  <c:y val="9.3384763530347706E-2"/>
                </c:manualLayout>
              </c:layout>
              <c:showLegendKey val="0"/>
              <c:showVal val="1"/>
              <c:showCatName val="0"/>
              <c:showSerName val="0"/>
              <c:showPercent val="0"/>
              <c:showBubbleSize val="0"/>
            </c:dLbl>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Лист1!$B$3:$F$3</c:f>
              <c:numCache>
                <c:formatCode>General</c:formatCode>
                <c:ptCount val="5"/>
                <c:pt idx="0">
                  <c:v>2012</c:v>
                </c:pt>
                <c:pt idx="1">
                  <c:v>2013</c:v>
                </c:pt>
                <c:pt idx="2">
                  <c:v>2014</c:v>
                </c:pt>
                <c:pt idx="3">
                  <c:v>2015</c:v>
                </c:pt>
                <c:pt idx="4">
                  <c:v>2016</c:v>
                </c:pt>
              </c:numCache>
            </c:numRef>
          </c:cat>
          <c:val>
            <c:numRef>
              <c:f>Лист1!$B$5:$F$5</c:f>
              <c:numCache>
                <c:formatCode>General</c:formatCode>
                <c:ptCount val="5"/>
                <c:pt idx="0">
                  <c:v>18.600000000000001</c:v>
                </c:pt>
                <c:pt idx="1">
                  <c:v>18.100000000000001</c:v>
                </c:pt>
                <c:pt idx="2">
                  <c:v>18.399999999999999</c:v>
                </c:pt>
                <c:pt idx="3">
                  <c:v>16.8</c:v>
                </c:pt>
                <c:pt idx="4">
                  <c:v>18.100000000000001</c:v>
                </c:pt>
              </c:numCache>
            </c:numRef>
          </c:val>
        </c:ser>
        <c:ser>
          <c:idx val="2"/>
          <c:order val="2"/>
          <c:tx>
            <c:strRef>
              <c:f>Лист1!$A$6</c:f>
              <c:strCache>
                <c:ptCount val="1"/>
                <c:pt idx="0">
                  <c:v>Югра</c:v>
                </c:pt>
              </c:strCache>
            </c:strRef>
          </c:tx>
          <c:spPr>
            <a:solidFill>
              <a:srgbClr val="6699FF"/>
            </a:solidFill>
            <a:scene3d>
              <a:camera prst="orthographicFront"/>
              <a:lightRig rig="threePt" dir="t"/>
            </a:scene3d>
            <a:sp3d>
              <a:bevelT/>
            </a:sp3d>
          </c:spPr>
          <c:invertIfNegative val="0"/>
          <c:dLbls>
            <c:dLbl>
              <c:idx val="0"/>
              <c:layout>
                <c:manualLayout>
                  <c:x val="-2.2772657067902055E-3"/>
                  <c:y val="9.1389535268276645E-2"/>
                </c:manualLayout>
              </c:layout>
              <c:showLegendKey val="0"/>
              <c:showVal val="1"/>
              <c:showCatName val="0"/>
              <c:showSerName val="0"/>
              <c:showPercent val="0"/>
              <c:showBubbleSize val="0"/>
            </c:dLbl>
            <c:dLbl>
              <c:idx val="1"/>
              <c:layout>
                <c:manualLayout>
                  <c:x val="-3.4158985601853084E-3"/>
                  <c:y val="9.9345461332634499E-2"/>
                </c:manualLayout>
              </c:layout>
              <c:showLegendKey val="0"/>
              <c:showVal val="1"/>
              <c:showCatName val="0"/>
              <c:showSerName val="0"/>
              <c:showPercent val="0"/>
              <c:showBubbleSize val="0"/>
            </c:dLbl>
            <c:dLbl>
              <c:idx val="2"/>
              <c:layout>
                <c:manualLayout>
                  <c:x val="-1.1386328533951027E-3"/>
                  <c:y val="0.10728473366838751"/>
                </c:manualLayout>
              </c:layout>
              <c:showLegendKey val="0"/>
              <c:showVal val="1"/>
              <c:showCatName val="0"/>
              <c:showSerName val="0"/>
              <c:showPercent val="0"/>
              <c:showBubbleSize val="0"/>
            </c:dLbl>
            <c:dLbl>
              <c:idx val="3"/>
              <c:layout>
                <c:manualLayout>
                  <c:x val="-1.1386328533951027E-3"/>
                  <c:y val="9.9345493117391173E-2"/>
                </c:manualLayout>
              </c:layout>
              <c:showLegendKey val="0"/>
              <c:showVal val="1"/>
              <c:showCatName val="0"/>
              <c:showSerName val="0"/>
              <c:showPercent val="0"/>
              <c:showBubbleSize val="0"/>
            </c:dLbl>
            <c:dLbl>
              <c:idx val="4"/>
              <c:layout>
                <c:manualLayout>
                  <c:x val="-2.2772657067902055E-3"/>
                  <c:y val="9.9345461332634499E-2"/>
                </c:manualLayout>
              </c:layout>
              <c:showLegendKey val="0"/>
              <c:showVal val="1"/>
              <c:showCatName val="0"/>
              <c:showSerName val="0"/>
              <c:showPercent val="0"/>
              <c:showBubbleSize val="0"/>
            </c:dLbl>
            <c:dLbl>
              <c:idx val="5"/>
              <c:layout>
                <c:manualLayout>
                  <c:x val="8.3498777997298888E-17"/>
                  <c:y val="0.11126695229147811"/>
                </c:manualLayout>
              </c:layout>
              <c:showLegendKey val="0"/>
              <c:showVal val="1"/>
              <c:showCatName val="0"/>
              <c:showSerName val="0"/>
              <c:showPercent val="0"/>
              <c:showBubbleSize val="0"/>
            </c:dLbl>
            <c:dLbl>
              <c:idx val="6"/>
              <c:layout>
                <c:manualLayout>
                  <c:x val="-1.1386328533951027E-3"/>
                  <c:y val="0.10330245009341013"/>
                </c:manualLayout>
              </c:layout>
              <c:showLegendKey val="0"/>
              <c:showVal val="1"/>
              <c:showCatName val="0"/>
              <c:showSerName val="0"/>
              <c:showPercent val="0"/>
              <c:showBubbleSize val="0"/>
            </c:dLbl>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Лист1!$B$3:$F$3</c:f>
              <c:numCache>
                <c:formatCode>General</c:formatCode>
                <c:ptCount val="5"/>
                <c:pt idx="0">
                  <c:v>2012</c:v>
                </c:pt>
                <c:pt idx="1">
                  <c:v>2013</c:v>
                </c:pt>
                <c:pt idx="2">
                  <c:v>2014</c:v>
                </c:pt>
                <c:pt idx="3">
                  <c:v>2015</c:v>
                </c:pt>
                <c:pt idx="4">
                  <c:v>2016</c:v>
                </c:pt>
              </c:numCache>
            </c:numRef>
          </c:cat>
          <c:val>
            <c:numRef>
              <c:f>Лист1!$B$6:$F$6</c:f>
              <c:numCache>
                <c:formatCode>General</c:formatCode>
                <c:ptCount val="5"/>
                <c:pt idx="0">
                  <c:v>17.7</c:v>
                </c:pt>
                <c:pt idx="1">
                  <c:v>17.5</c:v>
                </c:pt>
                <c:pt idx="2">
                  <c:v>17.2</c:v>
                </c:pt>
                <c:pt idx="3">
                  <c:v>16.600000000000001</c:v>
                </c:pt>
                <c:pt idx="4">
                  <c:v>16.3</c:v>
                </c:pt>
              </c:numCache>
            </c:numRef>
          </c:val>
        </c:ser>
        <c:ser>
          <c:idx val="3"/>
          <c:order val="3"/>
          <c:tx>
            <c:strRef>
              <c:f>Лист1!$A$7</c:f>
              <c:strCache>
                <c:ptCount val="1"/>
                <c:pt idx="0">
                  <c:v>Россия</c:v>
                </c:pt>
              </c:strCache>
            </c:strRef>
          </c:tx>
          <c:spPr>
            <a:solidFill>
              <a:srgbClr val="FF9933"/>
            </a:solidFill>
            <a:scene3d>
              <a:camera prst="orthographicFront"/>
              <a:lightRig rig="threePt" dir="t"/>
            </a:scene3d>
            <a:sp3d>
              <a:bevelT/>
            </a:sp3d>
          </c:spPr>
          <c:invertIfNegative val="0"/>
          <c:dLbls>
            <c:dLbl>
              <c:idx val="0"/>
              <c:layout>
                <c:manualLayout>
                  <c:x val="-1.1386328533950923E-3"/>
                  <c:y val="7.1520380157490931E-2"/>
                </c:manualLayout>
              </c:layout>
              <c:showLegendKey val="0"/>
              <c:showVal val="1"/>
              <c:showCatName val="0"/>
              <c:showSerName val="0"/>
              <c:showPercent val="0"/>
              <c:showBubbleSize val="0"/>
            </c:dLbl>
            <c:dLbl>
              <c:idx val="1"/>
              <c:layout>
                <c:manualLayout>
                  <c:x val="-2.2772657067902055E-3"/>
                  <c:y val="7.5502506621821008E-2"/>
                </c:manualLayout>
              </c:layout>
              <c:showLegendKey val="0"/>
              <c:showVal val="1"/>
              <c:showCatName val="0"/>
              <c:showSerName val="0"/>
              <c:showPercent val="0"/>
              <c:showBubbleSize val="0"/>
            </c:dLbl>
            <c:dLbl>
              <c:idx val="2"/>
              <c:layout>
                <c:manualLayout>
                  <c:x val="-1.1386328533951446E-3"/>
                  <c:y val="8.5437124080956411E-2"/>
                </c:manualLayout>
              </c:layout>
              <c:showLegendKey val="0"/>
              <c:showVal val="1"/>
              <c:showCatName val="0"/>
              <c:showSerName val="0"/>
              <c:showPercent val="0"/>
              <c:showBubbleSize val="0"/>
            </c:dLbl>
            <c:dLbl>
              <c:idx val="3"/>
              <c:layout>
                <c:manualLayout>
                  <c:x val="-2.2772657067902055E-3"/>
                  <c:y val="8.7424062532551361E-2"/>
                </c:manualLayout>
              </c:layout>
              <c:showLegendKey val="0"/>
              <c:showVal val="1"/>
              <c:showCatName val="0"/>
              <c:showSerName val="0"/>
              <c:showPercent val="0"/>
              <c:showBubbleSize val="0"/>
            </c:dLbl>
            <c:dLbl>
              <c:idx val="4"/>
              <c:layout>
                <c:manualLayout>
                  <c:x val="-1.1386328533951027E-3"/>
                  <c:y val="8.3458589796826077E-2"/>
                </c:manualLayout>
              </c:layout>
              <c:showLegendKey val="0"/>
              <c:showVal val="1"/>
              <c:showCatName val="0"/>
              <c:showSerName val="0"/>
              <c:showPercent val="0"/>
              <c:showBubbleSize val="0"/>
            </c:dLbl>
            <c:dLbl>
              <c:idx val="5"/>
              <c:layout>
                <c:manualLayout>
                  <c:x val="-1.1387225095252078E-3"/>
                  <c:y val="8.7424062532551361E-2"/>
                </c:manualLayout>
              </c:layout>
              <c:showLegendKey val="0"/>
              <c:showVal val="1"/>
              <c:showCatName val="0"/>
              <c:showSerName val="0"/>
              <c:showPercent val="0"/>
              <c:showBubbleSize val="0"/>
            </c:dLbl>
            <c:dLbl>
              <c:idx val="6"/>
              <c:layout>
                <c:manualLayout>
                  <c:x val="-1.1386328533951027E-3"/>
                  <c:y val="8.3433452093271562E-2"/>
                </c:manualLayout>
              </c:layout>
              <c:showLegendKey val="0"/>
              <c:showVal val="1"/>
              <c:showCatName val="0"/>
              <c:showSerName val="0"/>
              <c:showPercent val="0"/>
              <c:showBubbleSize val="0"/>
            </c:dLbl>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Лист1!$B$3:$F$3</c:f>
              <c:numCache>
                <c:formatCode>General</c:formatCode>
                <c:ptCount val="5"/>
                <c:pt idx="0">
                  <c:v>2012</c:v>
                </c:pt>
                <c:pt idx="1">
                  <c:v>2013</c:v>
                </c:pt>
                <c:pt idx="2">
                  <c:v>2014</c:v>
                </c:pt>
                <c:pt idx="3">
                  <c:v>2015</c:v>
                </c:pt>
                <c:pt idx="4">
                  <c:v>2016</c:v>
                </c:pt>
              </c:numCache>
            </c:numRef>
          </c:cat>
          <c:val>
            <c:numRef>
              <c:f>Лист1!$B$7:$F$7</c:f>
              <c:numCache>
                <c:formatCode>General</c:formatCode>
                <c:ptCount val="5"/>
                <c:pt idx="0">
                  <c:v>13.3</c:v>
                </c:pt>
                <c:pt idx="1">
                  <c:v>13.2</c:v>
                </c:pt>
                <c:pt idx="2">
                  <c:v>13.3</c:v>
                </c:pt>
                <c:pt idx="3">
                  <c:v>13.3</c:v>
                </c:pt>
                <c:pt idx="4" formatCode="0.0">
                  <c:v>13</c:v>
                </c:pt>
              </c:numCache>
            </c:numRef>
          </c:val>
        </c:ser>
        <c:ser>
          <c:idx val="4"/>
          <c:order val="4"/>
          <c:tx>
            <c:strRef>
              <c:f>Лист1!$A$8</c:f>
              <c:strCache>
                <c:ptCount val="1"/>
                <c:pt idx="0">
                  <c:v>Коэффициент смертности в городе Ханты-Мансийске</c:v>
                </c:pt>
              </c:strCache>
            </c:strRef>
          </c:tx>
          <c:spPr>
            <a:solidFill>
              <a:srgbClr val="7030A0"/>
            </a:solidFill>
            <a:scene3d>
              <a:camera prst="orthographicFront"/>
              <a:lightRig rig="threePt" dir="t"/>
            </a:scene3d>
            <a:sp3d>
              <a:bevelT/>
            </a:sp3d>
          </c:spPr>
          <c:invertIfNegative val="0"/>
          <c:dLbls>
            <c:dLbl>
              <c:idx val="0"/>
              <c:layout>
                <c:manualLayout>
                  <c:x val="0"/>
                  <c:y val="-1.1971988428486612E-2"/>
                </c:manualLayout>
              </c:layout>
              <c:showLegendKey val="0"/>
              <c:showVal val="1"/>
              <c:showCatName val="0"/>
              <c:showSerName val="0"/>
              <c:showPercent val="0"/>
              <c:showBubbleSize val="0"/>
            </c:dLbl>
            <c:dLbl>
              <c:idx val="1"/>
              <c:layout>
                <c:manualLayout>
                  <c:x val="0"/>
                  <c:y val="-2.1948357416038893E-2"/>
                </c:manualLayout>
              </c:layout>
              <c:showLegendKey val="0"/>
              <c:showVal val="1"/>
              <c:showCatName val="0"/>
              <c:showSerName val="0"/>
              <c:showPercent val="0"/>
              <c:showBubbleSize val="0"/>
            </c:dLbl>
            <c:dLbl>
              <c:idx val="2"/>
              <c:layout>
                <c:manualLayout>
                  <c:x val="0"/>
                  <c:y val="-2.3943662635678792E-2"/>
                </c:manualLayout>
              </c:layout>
              <c:showLegendKey val="0"/>
              <c:showVal val="1"/>
              <c:showCatName val="0"/>
              <c:showSerName val="0"/>
              <c:showPercent val="0"/>
              <c:showBubbleSize val="0"/>
            </c:dLbl>
            <c:dLbl>
              <c:idx val="3"/>
              <c:layout>
                <c:manualLayout>
                  <c:x val="-1.1386328533951027E-3"/>
                  <c:y val="-2.5938967855318691E-2"/>
                </c:manualLayout>
              </c:layout>
              <c:showLegendKey val="0"/>
              <c:showVal val="1"/>
              <c:showCatName val="0"/>
              <c:showSerName val="0"/>
              <c:showPercent val="0"/>
              <c:showBubbleSize val="0"/>
            </c:dLbl>
            <c:dLbl>
              <c:idx val="4"/>
              <c:layout>
                <c:manualLayout>
                  <c:x val="0"/>
                  <c:y val="-1.5962441757119195E-2"/>
                </c:manualLayout>
              </c:layout>
              <c:showLegendKey val="0"/>
              <c:showVal val="1"/>
              <c:showCatName val="0"/>
              <c:showSerName val="0"/>
              <c:showPercent val="0"/>
              <c:showBubbleSize val="0"/>
            </c:dLbl>
            <c:dLbl>
              <c:idx val="5"/>
              <c:layout>
                <c:manualLayout>
                  <c:x val="0"/>
                  <c:y val="-3.1924883514238389E-2"/>
                </c:manualLayout>
              </c:layout>
              <c:showLegendKey val="0"/>
              <c:showVal val="1"/>
              <c:showCatName val="0"/>
              <c:showSerName val="0"/>
              <c:showPercent val="0"/>
              <c:showBubbleSize val="0"/>
            </c:dLbl>
            <c:dLbl>
              <c:idx val="6"/>
              <c:layout>
                <c:manualLayout>
                  <c:x val="0"/>
                  <c:y val="-3.5915493953518188E-2"/>
                </c:manualLayout>
              </c:layout>
              <c:showLegendKey val="0"/>
              <c:showVal val="1"/>
              <c:showCatName val="0"/>
              <c:showSerName val="0"/>
              <c:showPercent val="0"/>
              <c:showBubbleSize val="0"/>
            </c:dLbl>
            <c:spPr>
              <a:solidFill>
                <a:sysClr val="window" lastClr="FFFFFF"/>
              </a:solidFill>
              <a:ln>
                <a:solidFill>
                  <a:srgbClr val="7030A0"/>
                </a:solidFill>
              </a:ln>
            </c:spPr>
            <c:txPr>
              <a:bodyPr rot="-5400000" vert="horz"/>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Лист1!$B$3:$F$3</c:f>
              <c:numCache>
                <c:formatCode>General</c:formatCode>
                <c:ptCount val="5"/>
                <c:pt idx="0">
                  <c:v>2012</c:v>
                </c:pt>
                <c:pt idx="1">
                  <c:v>2013</c:v>
                </c:pt>
                <c:pt idx="2">
                  <c:v>2014</c:v>
                </c:pt>
                <c:pt idx="3">
                  <c:v>2015</c:v>
                </c:pt>
                <c:pt idx="4">
                  <c:v>2016</c:v>
                </c:pt>
              </c:numCache>
            </c:numRef>
          </c:cat>
          <c:val>
            <c:numRef>
              <c:f>Лист1!$B$8:$F$8</c:f>
              <c:numCache>
                <c:formatCode>General</c:formatCode>
                <c:ptCount val="5"/>
                <c:pt idx="0">
                  <c:v>5.7</c:v>
                </c:pt>
                <c:pt idx="1">
                  <c:v>5.4</c:v>
                </c:pt>
                <c:pt idx="2">
                  <c:v>5.6</c:v>
                </c:pt>
                <c:pt idx="3">
                  <c:v>5.8</c:v>
                </c:pt>
                <c:pt idx="4" formatCode="0.0">
                  <c:v>5.7</c:v>
                </c:pt>
              </c:numCache>
            </c:numRef>
          </c:val>
        </c:ser>
        <c:ser>
          <c:idx val="5"/>
          <c:order val="5"/>
          <c:tx>
            <c:strRef>
              <c:f>Лист1!$A$9</c:f>
              <c:strCache>
                <c:ptCount val="1"/>
                <c:pt idx="0">
                  <c:v>Югра</c:v>
                </c:pt>
              </c:strCache>
            </c:strRef>
          </c:tx>
          <c:spPr>
            <a:solidFill>
              <a:schemeClr val="accent5">
                <a:lumMod val="75000"/>
              </a:schemeClr>
            </a:solidFill>
            <a:ln>
              <a:solidFill>
                <a:schemeClr val="accent5">
                  <a:lumMod val="60000"/>
                  <a:lumOff val="40000"/>
                </a:schemeClr>
              </a:solidFill>
            </a:ln>
            <a:scene3d>
              <a:camera prst="orthographicFront"/>
              <a:lightRig rig="threePt" dir="t"/>
            </a:scene3d>
            <a:sp3d>
              <a:bevelT/>
            </a:sp3d>
          </c:spPr>
          <c:invertIfNegative val="0"/>
          <c:dLbls>
            <c:dLbl>
              <c:idx val="0"/>
              <c:layout>
                <c:manualLayout>
                  <c:x val="-2.6784988960331011E-3"/>
                  <c:y val="4.8494673793403408E-2"/>
                </c:manualLayout>
              </c:layout>
              <c:showLegendKey val="0"/>
              <c:showVal val="1"/>
              <c:showCatName val="0"/>
              <c:showSerName val="0"/>
              <c:showPercent val="0"/>
              <c:showBubbleSize val="0"/>
            </c:dLbl>
            <c:dLbl>
              <c:idx val="1"/>
              <c:layout>
                <c:manualLayout>
                  <c:x val="-1.1386328533951027E-3"/>
                  <c:y val="4.3896714832077785E-2"/>
                </c:manualLayout>
              </c:layout>
              <c:showLegendKey val="0"/>
              <c:showVal val="1"/>
              <c:showCatName val="0"/>
              <c:showSerName val="0"/>
              <c:showPercent val="0"/>
              <c:showBubbleSize val="0"/>
            </c:dLbl>
            <c:dLbl>
              <c:idx val="2"/>
              <c:layout>
                <c:manualLayout>
                  <c:x val="-7.3743290415433473E-4"/>
                  <c:y val="3.8518174068046189E-2"/>
                </c:manualLayout>
              </c:layout>
              <c:showLegendKey val="0"/>
              <c:showVal val="1"/>
              <c:showCatName val="0"/>
              <c:showSerName val="0"/>
              <c:showPercent val="0"/>
              <c:showBubbleSize val="0"/>
            </c:dLbl>
            <c:dLbl>
              <c:idx val="3"/>
              <c:layout>
                <c:manualLayout>
                  <c:x val="0"/>
                  <c:y val="3.6927772829831444E-2"/>
                </c:manualLayout>
              </c:layout>
              <c:showLegendKey val="0"/>
              <c:showVal val="1"/>
              <c:showCatName val="0"/>
              <c:showSerName val="0"/>
              <c:showPercent val="0"/>
              <c:showBubbleSize val="0"/>
            </c:dLbl>
            <c:dLbl>
              <c:idx val="4"/>
              <c:layout>
                <c:manualLayout>
                  <c:x val="-8.3498777997298888E-17"/>
                  <c:y val="4.1901409612437886E-2"/>
                </c:manualLayout>
              </c:layout>
              <c:showLegendKey val="0"/>
              <c:showVal val="1"/>
              <c:showCatName val="0"/>
              <c:showSerName val="0"/>
              <c:showPercent val="0"/>
              <c:showBubbleSize val="0"/>
            </c:dLbl>
            <c:dLbl>
              <c:idx val="5"/>
              <c:layout>
                <c:manualLayout>
                  <c:x val="0"/>
                  <c:y val="4.1901409612437886E-2"/>
                </c:manualLayout>
              </c:layout>
              <c:showLegendKey val="0"/>
              <c:showVal val="1"/>
              <c:showCatName val="0"/>
              <c:showSerName val="0"/>
              <c:showPercent val="0"/>
              <c:showBubbleSize val="0"/>
            </c:dLbl>
            <c:dLbl>
              <c:idx val="6"/>
              <c:layout>
                <c:manualLayout>
                  <c:x val="1.1292139278250318E-16"/>
                  <c:y val="3.6320467120014306E-2"/>
                </c:manualLayout>
              </c:layout>
              <c:showLegendKey val="0"/>
              <c:showVal val="1"/>
              <c:showCatName val="0"/>
              <c:showSerName val="0"/>
              <c:showPercent val="0"/>
              <c:showBubbleSize val="0"/>
            </c:dLbl>
            <c:txPr>
              <a:bodyPr rot="-5400000" vert="horz"/>
              <a:lstStyle/>
              <a:p>
                <a:pPr>
                  <a:defRPr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Лист1!$B$3:$F$3</c:f>
              <c:numCache>
                <c:formatCode>General</c:formatCode>
                <c:ptCount val="5"/>
                <c:pt idx="0">
                  <c:v>2012</c:v>
                </c:pt>
                <c:pt idx="1">
                  <c:v>2013</c:v>
                </c:pt>
                <c:pt idx="2">
                  <c:v>2014</c:v>
                </c:pt>
                <c:pt idx="3">
                  <c:v>2015</c:v>
                </c:pt>
                <c:pt idx="4">
                  <c:v>2016</c:v>
                </c:pt>
              </c:numCache>
            </c:numRef>
          </c:cat>
          <c:val>
            <c:numRef>
              <c:f>Лист1!$B$9:$F$9</c:f>
              <c:numCache>
                <c:formatCode>General</c:formatCode>
                <c:ptCount val="5"/>
                <c:pt idx="0">
                  <c:v>6.3</c:v>
                </c:pt>
                <c:pt idx="1">
                  <c:v>6.3</c:v>
                </c:pt>
                <c:pt idx="2">
                  <c:v>6.4</c:v>
                </c:pt>
                <c:pt idx="3">
                  <c:v>6.4</c:v>
                </c:pt>
                <c:pt idx="4">
                  <c:v>6.2</c:v>
                </c:pt>
              </c:numCache>
            </c:numRef>
          </c:val>
        </c:ser>
        <c:ser>
          <c:idx val="6"/>
          <c:order val="6"/>
          <c:tx>
            <c:strRef>
              <c:f>Лист1!$A$10</c:f>
              <c:strCache>
                <c:ptCount val="1"/>
                <c:pt idx="0">
                  <c:v>Россия</c:v>
                </c:pt>
              </c:strCache>
            </c:strRef>
          </c:tx>
          <c:spPr>
            <a:solidFill>
              <a:schemeClr val="accent2">
                <a:lumMod val="60000"/>
                <a:lumOff val="40000"/>
              </a:schemeClr>
            </a:solidFill>
            <a:scene3d>
              <a:camera prst="orthographicFront"/>
              <a:lightRig rig="threePt" dir="t"/>
            </a:scene3d>
            <a:sp3d>
              <a:bevelT/>
            </a:sp3d>
          </c:spPr>
          <c:invertIfNegative val="0"/>
          <c:dLbls>
            <c:dLbl>
              <c:idx val="0"/>
              <c:layout>
                <c:manualLayout>
                  <c:x val="-1.1386328533951027E-3"/>
                  <c:y val="0.18556338542651063"/>
                </c:manualLayout>
              </c:layout>
              <c:showLegendKey val="0"/>
              <c:showVal val="1"/>
              <c:showCatName val="0"/>
              <c:showSerName val="0"/>
              <c:showPercent val="0"/>
              <c:showBubbleSize val="0"/>
            </c:dLbl>
            <c:dLbl>
              <c:idx val="1"/>
              <c:layout>
                <c:manualLayout>
                  <c:x val="-1.1386328533951027E-3"/>
                  <c:y val="0.16960094366939135"/>
                </c:manualLayout>
              </c:layout>
              <c:showLegendKey val="0"/>
              <c:showVal val="1"/>
              <c:showCatName val="0"/>
              <c:showSerName val="0"/>
              <c:showPercent val="0"/>
              <c:showBubbleSize val="0"/>
            </c:dLbl>
            <c:dLbl>
              <c:idx val="2"/>
              <c:layout>
                <c:manualLayout>
                  <c:x val="-1.1386328533951027E-3"/>
                  <c:y val="0.16161972279083175"/>
                </c:manualLayout>
              </c:layout>
              <c:showLegendKey val="0"/>
              <c:showVal val="1"/>
              <c:showCatName val="0"/>
              <c:showSerName val="0"/>
              <c:showPercent val="0"/>
              <c:showBubbleSize val="0"/>
            </c:dLbl>
            <c:dLbl>
              <c:idx val="3"/>
              <c:layout>
                <c:manualLayout>
                  <c:x val="-2.2772657067902055E-3"/>
                  <c:y val="0.15762895524090484"/>
                </c:manualLayout>
              </c:layout>
              <c:showLegendKey val="0"/>
              <c:showVal val="1"/>
              <c:showCatName val="0"/>
              <c:showSerName val="0"/>
              <c:showPercent val="0"/>
              <c:showBubbleSize val="0"/>
            </c:dLbl>
            <c:dLbl>
              <c:idx val="4"/>
              <c:layout>
                <c:manualLayout>
                  <c:x val="-1.1386328533951027E-3"/>
                  <c:y val="0.14765258625335248"/>
                </c:manualLayout>
              </c:layout>
              <c:showLegendKey val="0"/>
              <c:showVal val="1"/>
              <c:showCatName val="0"/>
              <c:showSerName val="0"/>
              <c:showPercent val="0"/>
              <c:showBubbleSize val="0"/>
            </c:dLbl>
            <c:dLbl>
              <c:idx val="5"/>
              <c:layout>
                <c:manualLayout>
                  <c:x val="-1.1386328533951027E-3"/>
                  <c:y val="0.14166667059443291"/>
                </c:manualLayout>
              </c:layout>
              <c:showLegendKey val="0"/>
              <c:showVal val="1"/>
              <c:showCatName val="0"/>
              <c:showSerName val="0"/>
              <c:showPercent val="0"/>
              <c:showBubbleSize val="0"/>
            </c:dLbl>
            <c:dLbl>
              <c:idx val="6"/>
              <c:layout>
                <c:manualLayout>
                  <c:x val="8.024220584830769E-4"/>
                  <c:y val="0.1396712784914538"/>
                </c:manualLayout>
              </c:layout>
              <c:showLegendKey val="0"/>
              <c:showVal val="1"/>
              <c:showCatName val="0"/>
              <c:showSerName val="0"/>
              <c:showPercent val="0"/>
              <c:showBubbleSize val="0"/>
            </c:dLbl>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Лист1!$B$3:$F$3</c:f>
              <c:numCache>
                <c:formatCode>General</c:formatCode>
                <c:ptCount val="5"/>
                <c:pt idx="0">
                  <c:v>2012</c:v>
                </c:pt>
                <c:pt idx="1">
                  <c:v>2013</c:v>
                </c:pt>
                <c:pt idx="2">
                  <c:v>2014</c:v>
                </c:pt>
                <c:pt idx="3">
                  <c:v>2015</c:v>
                </c:pt>
                <c:pt idx="4">
                  <c:v>2016</c:v>
                </c:pt>
              </c:numCache>
            </c:numRef>
          </c:cat>
          <c:val>
            <c:numRef>
              <c:f>Лист1!$B$10:$F$10</c:f>
              <c:numCache>
                <c:formatCode>0.0</c:formatCode>
                <c:ptCount val="5"/>
                <c:pt idx="0" formatCode="General">
                  <c:v>13.3</c:v>
                </c:pt>
                <c:pt idx="1">
                  <c:v>13</c:v>
                </c:pt>
                <c:pt idx="2" formatCode="General">
                  <c:v>13.1</c:v>
                </c:pt>
                <c:pt idx="3">
                  <c:v>13</c:v>
                </c:pt>
                <c:pt idx="4" formatCode="General">
                  <c:v>12.9</c:v>
                </c:pt>
              </c:numCache>
            </c:numRef>
          </c:val>
        </c:ser>
        <c:dLbls>
          <c:showLegendKey val="0"/>
          <c:showVal val="0"/>
          <c:showCatName val="0"/>
          <c:showSerName val="0"/>
          <c:showPercent val="0"/>
          <c:showBubbleSize val="0"/>
        </c:dLbls>
        <c:gapWidth val="98"/>
        <c:axId val="93608576"/>
        <c:axId val="93634944"/>
      </c:barChart>
      <c:lineChart>
        <c:grouping val="standard"/>
        <c:varyColors val="0"/>
        <c:ser>
          <c:idx val="0"/>
          <c:order val="0"/>
          <c:tx>
            <c:strRef>
              <c:f>Лист1!$A$4</c:f>
              <c:strCache>
                <c:ptCount val="1"/>
                <c:pt idx="0">
                  <c:v>Численность населения (среднегодовая),чел.</c:v>
                </c:pt>
              </c:strCache>
            </c:strRef>
          </c:tx>
          <c:dLbls>
            <c:dLbl>
              <c:idx val="0"/>
              <c:layout>
                <c:manualLayout>
                  <c:x val="-2.6500001146387845E-2"/>
                  <c:y val="-2.2860571338277662E-2"/>
                </c:manualLayout>
              </c:layout>
              <c:showLegendKey val="0"/>
              <c:showVal val="1"/>
              <c:showCatName val="0"/>
              <c:showSerName val="0"/>
              <c:showPercent val="0"/>
              <c:showBubbleSize val="0"/>
            </c:dLbl>
            <c:dLbl>
              <c:idx val="1"/>
              <c:layout>
                <c:manualLayout>
                  <c:x val="-3.4433005044405579E-2"/>
                  <c:y val="-3.519458809559383E-2"/>
                </c:manualLayout>
              </c:layout>
              <c:showLegendKey val="0"/>
              <c:showVal val="1"/>
              <c:showCatName val="0"/>
              <c:showSerName val="0"/>
              <c:showPercent val="0"/>
              <c:showBubbleSize val="0"/>
            </c:dLbl>
            <c:dLbl>
              <c:idx val="2"/>
              <c:layout>
                <c:manualLayout>
                  <c:x val="-3.2322255804186587E-2"/>
                  <c:y val="-3.5707742768704157E-2"/>
                </c:manualLayout>
              </c:layout>
              <c:showLegendKey val="0"/>
              <c:showVal val="1"/>
              <c:showCatName val="0"/>
              <c:showSerName val="0"/>
              <c:showPercent val="0"/>
              <c:showBubbleSize val="0"/>
            </c:dLbl>
            <c:dLbl>
              <c:idx val="3"/>
              <c:layout>
                <c:manualLayout>
                  <c:x val="-3.4094372043129303E-2"/>
                  <c:y val="-3.0209947534628162E-2"/>
                </c:manualLayout>
              </c:layout>
              <c:showLegendKey val="0"/>
              <c:showVal val="1"/>
              <c:showCatName val="0"/>
              <c:showSerName val="0"/>
              <c:showPercent val="0"/>
              <c:showBubbleSize val="0"/>
            </c:dLbl>
            <c:dLbl>
              <c:idx val="4"/>
              <c:layout>
                <c:manualLayout>
                  <c:x val="-3.3419099758570721E-2"/>
                  <c:y val="-3.3720832906356316E-2"/>
                </c:manualLayout>
              </c:layout>
              <c:showLegendKey val="0"/>
              <c:showVal val="1"/>
              <c:showCatName val="0"/>
              <c:showSerName val="0"/>
              <c:showPercent val="0"/>
              <c:showBubbleSize val="0"/>
            </c:dLbl>
            <c:dLbl>
              <c:idx val="5"/>
              <c:layout>
                <c:manualLayout>
                  <c:x val="-2.903032833843832E-2"/>
                  <c:y val="-3.5244808415736642E-2"/>
                </c:manualLayout>
              </c:layout>
              <c:showLegendKey val="0"/>
              <c:showVal val="1"/>
              <c:showCatName val="0"/>
              <c:showSerName val="0"/>
              <c:showPercent val="0"/>
              <c:showBubbleSize val="0"/>
            </c:dLbl>
            <c:dLbl>
              <c:idx val="6"/>
              <c:layout>
                <c:manualLayout>
                  <c:x val="-2.8102751041742573E-2"/>
                  <c:y val="-3.4782343411555512E-2"/>
                </c:manualLayout>
              </c:layout>
              <c:showLegendKey val="0"/>
              <c:showVal val="1"/>
              <c:showCatName val="0"/>
              <c:showSerName val="0"/>
              <c:showPercent val="0"/>
              <c:showBubbleSize val="0"/>
            </c:dLbl>
            <c:spPr>
              <a:solidFill>
                <a:sysClr val="window" lastClr="FFFFFF"/>
              </a:solidFill>
              <a:ln>
                <a:solidFill>
                  <a:schemeClr val="accent1"/>
                </a:solidFill>
              </a:ln>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Лист1!$B$3:$F$3</c:f>
              <c:numCache>
                <c:formatCode>General</c:formatCode>
                <c:ptCount val="5"/>
                <c:pt idx="0">
                  <c:v>2012</c:v>
                </c:pt>
                <c:pt idx="1">
                  <c:v>2013</c:v>
                </c:pt>
                <c:pt idx="2">
                  <c:v>2014</c:v>
                </c:pt>
                <c:pt idx="3">
                  <c:v>2015</c:v>
                </c:pt>
                <c:pt idx="4">
                  <c:v>2016</c:v>
                </c:pt>
              </c:numCache>
            </c:numRef>
          </c:cat>
          <c:val>
            <c:numRef>
              <c:f>Лист1!$B$4:$F$4</c:f>
              <c:numCache>
                <c:formatCode>General</c:formatCode>
                <c:ptCount val="5"/>
                <c:pt idx="0">
                  <c:v>87.9</c:v>
                </c:pt>
                <c:pt idx="1">
                  <c:v>92.2</c:v>
                </c:pt>
                <c:pt idx="2">
                  <c:v>94.4</c:v>
                </c:pt>
                <c:pt idx="3">
                  <c:v>96.1</c:v>
                </c:pt>
                <c:pt idx="4">
                  <c:v>97.9</c:v>
                </c:pt>
              </c:numCache>
            </c:numRef>
          </c:val>
          <c:smooth val="0"/>
        </c:ser>
        <c:dLbls>
          <c:showLegendKey val="0"/>
          <c:showVal val="0"/>
          <c:showCatName val="0"/>
          <c:showSerName val="0"/>
          <c:showPercent val="0"/>
          <c:showBubbleSize val="0"/>
        </c:dLbls>
        <c:marker val="1"/>
        <c:smooth val="0"/>
        <c:axId val="93638016"/>
        <c:axId val="93636480"/>
      </c:lineChart>
      <c:catAx>
        <c:axId val="93608576"/>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93634944"/>
        <c:crosses val="autoZero"/>
        <c:auto val="1"/>
        <c:lblAlgn val="ctr"/>
        <c:lblOffset val="100"/>
        <c:noMultiLvlLbl val="0"/>
      </c:catAx>
      <c:valAx>
        <c:axId val="93634944"/>
        <c:scaling>
          <c:orientation val="minMax"/>
          <c:max val="29"/>
          <c:min val="5"/>
        </c:scaling>
        <c:delete val="0"/>
        <c:axPos val="l"/>
        <c:majorGridlines>
          <c:spPr>
            <a:ln>
              <a:noFill/>
            </a:ln>
          </c:spPr>
        </c:majorGridlines>
        <c:numFmt formatCode="General" sourceLinked="1"/>
        <c:majorTickMark val="none"/>
        <c:minorTickMark val="none"/>
        <c:tickLblPos val="none"/>
        <c:spPr>
          <a:ln>
            <a:noFill/>
          </a:ln>
        </c:spPr>
        <c:txPr>
          <a:bodyPr/>
          <a:lstStyle/>
          <a:p>
            <a:pPr>
              <a:defRPr>
                <a:latin typeface="Times New Roman" panose="02020603050405020304" pitchFamily="18" charset="0"/>
                <a:cs typeface="Times New Roman" panose="02020603050405020304" pitchFamily="18" charset="0"/>
              </a:defRPr>
            </a:pPr>
            <a:endParaRPr lang="ru-RU"/>
          </a:p>
        </c:txPr>
        <c:crossAx val="93608576"/>
        <c:crosses val="autoZero"/>
        <c:crossBetween val="between"/>
      </c:valAx>
      <c:valAx>
        <c:axId val="93636480"/>
        <c:scaling>
          <c:orientation val="minMax"/>
          <c:min val="25"/>
        </c:scaling>
        <c:delete val="0"/>
        <c:axPos val="r"/>
        <c:numFmt formatCode="General" sourceLinked="1"/>
        <c:majorTickMark val="none"/>
        <c:minorTickMark val="none"/>
        <c:tickLblPos val="none"/>
        <c:spPr>
          <a:ln>
            <a:noFill/>
          </a:ln>
        </c:spPr>
        <c:txPr>
          <a:bodyPr/>
          <a:lstStyle/>
          <a:p>
            <a:pPr>
              <a:defRPr>
                <a:latin typeface="Times New Roman" panose="02020603050405020304" pitchFamily="18" charset="0"/>
                <a:cs typeface="Times New Roman" panose="02020603050405020304" pitchFamily="18" charset="0"/>
              </a:defRPr>
            </a:pPr>
            <a:endParaRPr lang="ru-RU"/>
          </a:p>
        </c:txPr>
        <c:crossAx val="93638016"/>
        <c:crosses val="max"/>
        <c:crossBetween val="between"/>
      </c:valAx>
      <c:catAx>
        <c:axId val="93638016"/>
        <c:scaling>
          <c:orientation val="minMax"/>
        </c:scaling>
        <c:delete val="1"/>
        <c:axPos val="b"/>
        <c:numFmt formatCode="General" sourceLinked="1"/>
        <c:majorTickMark val="out"/>
        <c:minorTickMark val="none"/>
        <c:tickLblPos val="nextTo"/>
        <c:crossAx val="93636480"/>
        <c:crosses val="autoZero"/>
        <c:auto val="1"/>
        <c:lblAlgn val="ctr"/>
        <c:lblOffset val="100"/>
        <c:noMultiLvlLbl val="0"/>
      </c:catAx>
      <c:spPr>
        <a:noFill/>
        <a:ln>
          <a:noFill/>
        </a:ln>
      </c:spPr>
    </c:plotArea>
    <c:legend>
      <c:legendPos val="b"/>
      <c:layout>
        <c:manualLayout>
          <c:xMode val="edge"/>
          <c:yMode val="edge"/>
          <c:x val="3.0750361812250103E-4"/>
          <c:y val="0.72793610798650166"/>
          <c:w val="0.97148887509393278"/>
          <c:h val="0.2185675633609869"/>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Динамика роста количества информационных материалов</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 материалы в городских СМИ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1044</c:v>
                </c:pt>
                <c:pt idx="1">
                  <c:v>1200</c:v>
                </c:pt>
                <c:pt idx="2">
                  <c:v>1649</c:v>
                </c:pt>
                <c:pt idx="3">
                  <c:v>1820</c:v>
                </c:pt>
                <c:pt idx="4">
                  <c:v>2335</c:v>
                </c:pt>
              </c:numCache>
            </c:numRef>
          </c:val>
        </c:ser>
        <c:ser>
          <c:idx val="1"/>
          <c:order val="1"/>
          <c:tx>
            <c:strRef>
              <c:f>Лист1!$C$1</c:f>
              <c:strCache>
                <c:ptCount val="1"/>
                <c:pt idx="0">
                  <c:v> материалы в иных СМИ</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152</c:v>
                </c:pt>
                <c:pt idx="1">
                  <c:v>418</c:v>
                </c:pt>
                <c:pt idx="2">
                  <c:v>359</c:v>
                </c:pt>
                <c:pt idx="3">
                  <c:v>365</c:v>
                </c:pt>
                <c:pt idx="4">
                  <c:v>762</c:v>
                </c:pt>
              </c:numCache>
            </c:numRef>
          </c:val>
        </c:ser>
        <c:dLbls>
          <c:showLegendKey val="0"/>
          <c:showVal val="1"/>
          <c:showCatName val="0"/>
          <c:showSerName val="0"/>
          <c:showPercent val="0"/>
          <c:showBubbleSize val="0"/>
        </c:dLbls>
        <c:gapWidth val="79"/>
        <c:shape val="box"/>
        <c:axId val="145389056"/>
        <c:axId val="145390592"/>
        <c:axId val="0"/>
      </c:bar3DChart>
      <c:catAx>
        <c:axId val="145389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45390592"/>
        <c:crosses val="autoZero"/>
        <c:auto val="1"/>
        <c:lblAlgn val="ctr"/>
        <c:lblOffset val="100"/>
        <c:noMultiLvlLbl val="0"/>
      </c:catAx>
      <c:valAx>
        <c:axId val="145390592"/>
        <c:scaling>
          <c:orientation val="minMax"/>
        </c:scaling>
        <c:delete val="1"/>
        <c:axPos val="l"/>
        <c:numFmt formatCode="General" sourceLinked="1"/>
        <c:majorTickMark val="none"/>
        <c:minorTickMark val="none"/>
        <c:tickLblPos val="nextTo"/>
        <c:crossAx val="145389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[Диаграммы.xlsx]Лист1!$A$3:$A$8</c:f>
              <c:numCache>
                <c:formatCode>General</c:formatCode>
                <c:ptCount val="6"/>
                <c:pt idx="0">
                  <c:v>2011</c:v>
                </c:pt>
                <c:pt idx="1">
                  <c:v>2012</c:v>
                </c:pt>
                <c:pt idx="2">
                  <c:v>2013</c:v>
                </c:pt>
                <c:pt idx="3">
                  <c:v>2014</c:v>
                </c:pt>
                <c:pt idx="4">
                  <c:v>2015</c:v>
                </c:pt>
                <c:pt idx="5">
                  <c:v>2016</c:v>
                </c:pt>
              </c:numCache>
            </c:numRef>
          </c:cat>
          <c:val>
            <c:numRef>
              <c:f>[Диаграммы.xlsx]Лист1!$B$3:$B$8</c:f>
              <c:numCache>
                <c:formatCode>General</c:formatCode>
                <c:ptCount val="6"/>
                <c:pt idx="0">
                  <c:v>12</c:v>
                </c:pt>
                <c:pt idx="1">
                  <c:v>19</c:v>
                </c:pt>
                <c:pt idx="2">
                  <c:v>26</c:v>
                </c:pt>
                <c:pt idx="3">
                  <c:v>31</c:v>
                </c:pt>
                <c:pt idx="4">
                  <c:v>34</c:v>
                </c:pt>
                <c:pt idx="5">
                  <c:v>35</c:v>
                </c:pt>
              </c:numCache>
            </c:numRef>
          </c:val>
          <c:extLst xmlns:c16r2="http://schemas.microsoft.com/office/drawing/2015/06/chart">
            <c:ext xmlns:c16="http://schemas.microsoft.com/office/drawing/2014/chart" uri="{C3380CC4-5D6E-409C-BE32-E72D297353CC}">
              <c16:uniqueId val="{00000000-E788-4854-8099-4A29065AE993}"/>
            </c:ext>
          </c:extLst>
        </c:ser>
        <c:dLbls>
          <c:showLegendKey val="0"/>
          <c:showVal val="0"/>
          <c:showCatName val="0"/>
          <c:showSerName val="0"/>
          <c:showPercent val="0"/>
          <c:showBubbleSize val="0"/>
        </c:dLbls>
        <c:gapWidth val="150"/>
        <c:axId val="147103744"/>
        <c:axId val="147105280"/>
      </c:barChart>
      <c:catAx>
        <c:axId val="147103744"/>
        <c:scaling>
          <c:orientation val="minMax"/>
        </c:scaling>
        <c:delete val="0"/>
        <c:axPos val="b"/>
        <c:numFmt formatCode="General" sourceLinked="1"/>
        <c:majorTickMark val="out"/>
        <c:minorTickMark val="none"/>
        <c:tickLblPos val="nextTo"/>
        <c:crossAx val="147105280"/>
        <c:crosses val="autoZero"/>
        <c:auto val="1"/>
        <c:lblAlgn val="ctr"/>
        <c:lblOffset val="100"/>
        <c:noMultiLvlLbl val="0"/>
      </c:catAx>
      <c:valAx>
        <c:axId val="147105280"/>
        <c:scaling>
          <c:orientation val="minMax"/>
        </c:scaling>
        <c:delete val="1"/>
        <c:axPos val="l"/>
        <c:majorGridlines>
          <c:spPr>
            <a:ln w="3175">
              <a:solidFill>
                <a:schemeClr val="accent1"/>
              </a:solidFill>
            </a:ln>
          </c:spPr>
        </c:majorGridlines>
        <c:numFmt formatCode="General" sourceLinked="1"/>
        <c:majorTickMark val="out"/>
        <c:minorTickMark val="none"/>
        <c:tickLblPos val="nextTo"/>
        <c:crossAx val="1471037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4438437732596855E-2"/>
          <c:y val="1.5178649461050598E-2"/>
          <c:w val="0.95556156226740319"/>
          <c:h val="0.65657497812773391"/>
        </c:manualLayout>
      </c:layout>
      <c:bar3DChart>
        <c:barDir val="col"/>
        <c:grouping val="clustered"/>
        <c:varyColors val="0"/>
        <c:ser>
          <c:idx val="0"/>
          <c:order val="0"/>
          <c:tx>
            <c:strRef>
              <c:f>Лист1!$B$1</c:f>
              <c:strCache>
                <c:ptCount val="1"/>
                <c:pt idx="0">
                  <c:v>Обрабатывающие производства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413672397817368E-2"/>
                  <c:y val="-3.43229792345975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354576340986344E-2"/>
                  <c:y val="-3.43229792345981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354576340986308E-2"/>
                  <c:y val="-6.2924735018187021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236384227324204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512820512820513E-3"/>
                  <c:y val="0"/>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1776.6</c:v>
                </c:pt>
                <c:pt idx="1">
                  <c:v>1595.6</c:v>
                </c:pt>
                <c:pt idx="2" formatCode="0.0">
                  <c:v>1308.4000000000001</c:v>
                </c:pt>
                <c:pt idx="3" formatCode="0.0">
                  <c:v>1913.5</c:v>
                </c:pt>
                <c:pt idx="4" formatCode="0.0">
                  <c:v>2184.6</c:v>
                </c:pt>
                <c:pt idx="5" formatCode="0.0">
                  <c:v>514</c:v>
                </c:pt>
                <c:pt idx="6" formatCode="0.0">
                  <c:v>545.20000000000005</c:v>
                </c:pt>
              </c:numCache>
            </c:numRef>
          </c:val>
        </c:ser>
        <c:ser>
          <c:idx val="1"/>
          <c:order val="1"/>
          <c:tx>
            <c:strRef>
              <c:f>Лист1!$C$1</c:f>
              <c:strCache>
                <c:ptCount val="1"/>
                <c:pt idx="0">
                  <c:v>Производство и распределение электроэнергии, газа и воды</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354576340986289E-2"/>
                  <c:y val="-3.146236750909351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363842273241294E-3"/>
                  <c:y val="-1.5731183754546755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35457634098630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18192113662102E-3"/>
                  <c:y val="-3.146236750909351E-17"/>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1834.6</c:v>
                </c:pt>
                <c:pt idx="1">
                  <c:v>4465.8999999999996</c:v>
                </c:pt>
                <c:pt idx="2" formatCode="0.0">
                  <c:v>6873</c:v>
                </c:pt>
                <c:pt idx="3" formatCode="0.0">
                  <c:v>7745.1</c:v>
                </c:pt>
                <c:pt idx="4" formatCode="0.0">
                  <c:v>8090.7</c:v>
                </c:pt>
                <c:pt idx="5" formatCode="0.0">
                  <c:v>9037.5</c:v>
                </c:pt>
                <c:pt idx="6" formatCode="0.0">
                  <c:v>11238.6</c:v>
                </c:pt>
              </c:numCache>
            </c:numRef>
          </c:val>
        </c:ser>
        <c:ser>
          <c:idx val="2"/>
          <c:order val="2"/>
          <c:tx>
            <c:strRef>
              <c:f>Лист1!$D$1</c:f>
              <c:strCache>
                <c:ptCount val="1"/>
                <c:pt idx="0">
                  <c:v>Рыболовство, рыбоводство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0311164950535029E-2"/>
                  <c:y val="-3.432433381235653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598828992529773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295480284155256E-2"/>
                  <c:y val="-3.432297923459756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413672397817358E-2"/>
                  <c:y val="-6.864595846919638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256410256410256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43585223488855E-2"/>
                  <c:y val="-7.7333123359580147E-2"/>
                </c:manualLayout>
              </c:layout>
              <c:spPr>
                <a:noFill/>
                <a:ln w="25377">
                  <a:noFill/>
                </a:ln>
              </c:spPr>
              <c:txPr>
                <a:bodyPr rot="0" spcFirstLastPara="1" vertOverflow="ellipsis" vert="horz" wrap="square" lIns="38100" tIns="19050" rIns="38100" bIns="19050" anchor="ctr" anchorCtr="1">
                  <a:no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502487562189054E-2"/>
                      <c:h val="6.9200209973753271E-2"/>
                    </c:manualLayout>
                  </c15:layout>
                </c:ext>
              </c:extLst>
            </c:dLbl>
            <c:dLbl>
              <c:idx val="6"/>
              <c:layout>
                <c:manualLayout>
                  <c:x val="1.6519763387785481E-2"/>
                  <c:y val="-2.1799475065616799E-2"/>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General</c:formatCode>
                <c:ptCount val="7"/>
                <c:pt idx="0">
                  <c:v>9.9</c:v>
                </c:pt>
                <c:pt idx="1">
                  <c:v>12.3</c:v>
                </c:pt>
                <c:pt idx="2" formatCode="0.0">
                  <c:v>18.100000000000001</c:v>
                </c:pt>
                <c:pt idx="3" formatCode="0.0">
                  <c:v>24.6</c:v>
                </c:pt>
                <c:pt idx="4" formatCode="0.0">
                  <c:v>86.7</c:v>
                </c:pt>
                <c:pt idx="5" formatCode="0.0">
                  <c:v>96.6</c:v>
                </c:pt>
                <c:pt idx="6" formatCode="0.0">
                  <c:v>210.4</c:v>
                </c:pt>
              </c:numCache>
            </c:numRef>
          </c:val>
        </c:ser>
        <c:ser>
          <c:idx val="3"/>
          <c:order val="3"/>
          <c:tx>
            <c:strRef>
              <c:f>Лист1!$E$1</c:f>
              <c:strCache>
                <c:ptCount val="1"/>
                <c:pt idx="0">
                  <c:v>Предоставление прочих услуг</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583080961033718E-2"/>
                  <c:y val="1.627886171403581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77892186553602E-2"/>
                  <c:y val="3.595505109014582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70139309509464E-2"/>
                  <c:y val="-2.942935087260361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609328471407004E-2"/>
                  <c:y val="-2.642762777008067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428591587133175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07418420921165E-2"/>
                  <c:y val="6.586482722281474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092812730705581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Лист1!$E$2:$E$8</c:f>
              <c:numCache>
                <c:formatCode>General</c:formatCode>
                <c:ptCount val="7"/>
                <c:pt idx="0">
                  <c:v>29.3</c:v>
                </c:pt>
                <c:pt idx="1">
                  <c:v>36.5</c:v>
                </c:pt>
                <c:pt idx="2" formatCode="0.0">
                  <c:v>41.1</c:v>
                </c:pt>
                <c:pt idx="3" formatCode="0.0">
                  <c:v>42</c:v>
                </c:pt>
                <c:pt idx="4" formatCode="0.0">
                  <c:v>33.700000000000003</c:v>
                </c:pt>
                <c:pt idx="5" formatCode="0.0">
                  <c:v>89</c:v>
                </c:pt>
                <c:pt idx="6" formatCode="0.0">
                  <c:v>0</c:v>
                </c:pt>
              </c:numCache>
            </c:numRef>
          </c:val>
        </c:ser>
        <c:dLbls>
          <c:showLegendKey val="0"/>
          <c:showVal val="0"/>
          <c:showCatName val="0"/>
          <c:showSerName val="0"/>
          <c:showPercent val="0"/>
          <c:showBubbleSize val="0"/>
        </c:dLbls>
        <c:gapWidth val="150"/>
        <c:shape val="box"/>
        <c:axId val="144556416"/>
        <c:axId val="144557952"/>
        <c:axId val="0"/>
      </c:bar3DChart>
      <c:catAx>
        <c:axId val="144556416"/>
        <c:scaling>
          <c:orientation val="minMax"/>
        </c:scaling>
        <c:delete val="0"/>
        <c:axPos val="b"/>
        <c:numFmt formatCode="General" sourceLinked="1"/>
        <c:majorTickMark val="out"/>
        <c:minorTickMark val="none"/>
        <c:tickLblPos val="nextTo"/>
        <c:spPr>
          <a:solidFill>
            <a:schemeClr val="bg1"/>
          </a:solidFill>
          <a:ln w="1268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crossAx val="144557952"/>
        <c:crosses val="autoZero"/>
        <c:auto val="1"/>
        <c:lblAlgn val="ctr"/>
        <c:lblOffset val="100"/>
        <c:noMultiLvlLbl val="0"/>
      </c:catAx>
      <c:valAx>
        <c:axId val="144557952"/>
        <c:scaling>
          <c:orientation val="minMax"/>
        </c:scaling>
        <c:delete val="1"/>
        <c:axPos val="l"/>
        <c:numFmt formatCode="General" sourceLinked="1"/>
        <c:majorTickMark val="out"/>
        <c:minorTickMark val="none"/>
        <c:tickLblPos val="nextTo"/>
        <c:crossAx val="144556416"/>
        <c:crosses val="autoZero"/>
        <c:crossBetween val="between"/>
      </c:valAx>
      <c:spPr>
        <a:noFill/>
        <a:ln w="25377">
          <a:noFill/>
        </a:ln>
      </c:spPr>
    </c:plotArea>
    <c:legend>
      <c:legendPos val="r"/>
      <c:layout>
        <c:manualLayout>
          <c:xMode val="edge"/>
          <c:yMode val="edge"/>
          <c:x val="1.6993802843223077E-2"/>
          <c:y val="0.76544916885389325"/>
          <c:w val="0.98300627367696469"/>
          <c:h val="0.23455083114610673"/>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ru-RU" sz="1200">
                <a:solidFill>
                  <a:sysClr val="windowText" lastClr="000000"/>
                </a:solidFill>
              </a:rPr>
              <a:t>Структура инвестиций в основной капитал, %</a:t>
            </a:r>
          </a:p>
        </c:rich>
      </c:tx>
      <c:layout>
        <c:manualLayout>
          <c:xMode val="edge"/>
          <c:yMode val="edge"/>
          <c:x val="0.19944982838683625"/>
          <c:y val="0"/>
        </c:manualLayout>
      </c:layout>
      <c:overlay val="0"/>
      <c:spPr>
        <a:noFill/>
        <a:ln w="25354">
          <a:noFill/>
        </a:ln>
      </c:spPr>
    </c:title>
    <c:autoTitleDeleted val="0"/>
    <c:plotArea>
      <c:layout>
        <c:manualLayout>
          <c:layoutTarget val="inner"/>
          <c:xMode val="edge"/>
          <c:yMode val="edge"/>
          <c:x val="2.5462962962962962E-2"/>
          <c:y val="0.13992588377798182"/>
          <c:w val="0.94907407407407407"/>
          <c:h val="0.63159866905281281"/>
        </c:manualLayout>
      </c:layout>
      <c:barChart>
        <c:barDir val="col"/>
        <c:grouping val="percentStacked"/>
        <c:varyColors val="0"/>
        <c:ser>
          <c:idx val="0"/>
          <c:order val="0"/>
          <c:tx>
            <c:strRef>
              <c:f>Лист1!$B$1</c:f>
              <c:strCache>
                <c:ptCount val="1"/>
                <c:pt idx="0">
                  <c:v>Строительство зданий и сооружений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0.0%</c:formatCode>
                <c:ptCount val="7"/>
                <c:pt idx="0">
                  <c:v>0.45400000000000001</c:v>
                </c:pt>
                <c:pt idx="1">
                  <c:v>0.55800000000000005</c:v>
                </c:pt>
                <c:pt idx="2">
                  <c:v>0.51600000000000001</c:v>
                </c:pt>
                <c:pt idx="3">
                  <c:v>0.434</c:v>
                </c:pt>
                <c:pt idx="4">
                  <c:v>0.38900000000000001</c:v>
                </c:pt>
                <c:pt idx="5">
                  <c:v>0.34</c:v>
                </c:pt>
                <c:pt idx="6">
                  <c:v>0.27300000000000002</c:v>
                </c:pt>
              </c:numCache>
            </c:numRef>
          </c:val>
        </c:ser>
        <c:ser>
          <c:idx val="1"/>
          <c:order val="1"/>
          <c:tx>
            <c:strRef>
              <c:f>Лист1!$C$1</c:f>
              <c:strCache>
                <c:ptCount val="1"/>
                <c:pt idx="0">
                  <c:v>Строительство жилья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0.0%</c:formatCode>
                <c:ptCount val="7"/>
                <c:pt idx="0">
                  <c:v>0.28799999999999998</c:v>
                </c:pt>
                <c:pt idx="1">
                  <c:v>0.20100000000000001</c:v>
                </c:pt>
                <c:pt idx="2">
                  <c:v>0.28799999999999998</c:v>
                </c:pt>
                <c:pt idx="3">
                  <c:v>0.219</c:v>
                </c:pt>
                <c:pt idx="4">
                  <c:v>0.247</c:v>
                </c:pt>
                <c:pt idx="5">
                  <c:v>0.31</c:v>
                </c:pt>
                <c:pt idx="6">
                  <c:v>0.36199999999999999</c:v>
                </c:pt>
              </c:numCache>
            </c:numRef>
          </c:val>
        </c:ser>
        <c:ser>
          <c:idx val="2"/>
          <c:order val="2"/>
          <c:tx>
            <c:strRef>
              <c:f>Лист1!$D$1</c:f>
              <c:strCache>
                <c:ptCount val="1"/>
                <c:pt idx="0">
                  <c:v>Приобретение машин и оборудования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0.0%</c:formatCode>
                <c:ptCount val="7"/>
                <c:pt idx="0">
                  <c:v>0.20200000000000001</c:v>
                </c:pt>
                <c:pt idx="1">
                  <c:v>0.23599999999999999</c:v>
                </c:pt>
                <c:pt idx="2">
                  <c:v>0.19500000000000001</c:v>
                </c:pt>
                <c:pt idx="3">
                  <c:v>0.317</c:v>
                </c:pt>
                <c:pt idx="4">
                  <c:v>0.307</c:v>
                </c:pt>
                <c:pt idx="5">
                  <c:v>0.28199999999999997</c:v>
                </c:pt>
                <c:pt idx="6">
                  <c:v>0.19700000000000001</c:v>
                </c:pt>
              </c:numCache>
            </c:numRef>
          </c:val>
        </c:ser>
        <c:ser>
          <c:idx val="3"/>
          <c:order val="3"/>
          <c:tx>
            <c:strRef>
              <c:f>Лист1!$E$1</c:f>
              <c:strCache>
                <c:ptCount val="1"/>
                <c:pt idx="0">
                  <c:v>Прочие инвестиции</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420301900028362E-3"/>
                  <c:y val="-4.683774484430602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0420665713702267E-3"/>
                  <c:y val="-2.7077339651379269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0841331427404533E-3"/>
                  <c:y val="-3.046200710780167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4000676933491287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Лист1!$E$2:$E$8</c:f>
              <c:numCache>
                <c:formatCode>0.0%</c:formatCode>
                <c:ptCount val="7"/>
                <c:pt idx="0">
                  <c:v>5.6000000000000001E-2</c:v>
                </c:pt>
                <c:pt idx="1">
                  <c:v>5.0000000000000001E-3</c:v>
                </c:pt>
                <c:pt idx="2">
                  <c:v>1E-3</c:v>
                </c:pt>
                <c:pt idx="3">
                  <c:v>0.03</c:v>
                </c:pt>
                <c:pt idx="4">
                  <c:v>5.7000000000000002E-2</c:v>
                </c:pt>
                <c:pt idx="5">
                  <c:v>6.8000000000000005E-2</c:v>
                </c:pt>
                <c:pt idx="6">
                  <c:v>0.16800000000000001</c:v>
                </c:pt>
              </c:numCache>
            </c:numRef>
          </c:val>
        </c:ser>
        <c:dLbls>
          <c:showLegendKey val="0"/>
          <c:showVal val="0"/>
          <c:showCatName val="0"/>
          <c:showSerName val="0"/>
          <c:showPercent val="0"/>
          <c:showBubbleSize val="0"/>
        </c:dLbls>
        <c:gapWidth val="150"/>
        <c:overlap val="100"/>
        <c:axId val="92780032"/>
        <c:axId val="92781568"/>
      </c:barChart>
      <c:catAx>
        <c:axId val="92780032"/>
        <c:scaling>
          <c:orientation val="minMax"/>
        </c:scaling>
        <c:delete val="0"/>
        <c:axPos val="b"/>
        <c:numFmt formatCode="General" sourceLinked="1"/>
        <c:majorTickMark val="out"/>
        <c:minorTickMark val="none"/>
        <c:tickLblPos val="nextTo"/>
        <c:spPr>
          <a:noFill/>
          <a:ln w="12677"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92781568"/>
        <c:crosses val="autoZero"/>
        <c:auto val="1"/>
        <c:lblAlgn val="ctr"/>
        <c:lblOffset val="100"/>
        <c:noMultiLvlLbl val="0"/>
      </c:catAx>
      <c:valAx>
        <c:axId val="92781568"/>
        <c:scaling>
          <c:orientation val="minMax"/>
        </c:scaling>
        <c:delete val="1"/>
        <c:axPos val="l"/>
        <c:numFmt formatCode="0%" sourceLinked="1"/>
        <c:majorTickMark val="out"/>
        <c:minorTickMark val="none"/>
        <c:tickLblPos val="nextTo"/>
        <c:crossAx val="92780032"/>
        <c:crosses val="autoZero"/>
        <c:crossBetween val="between"/>
      </c:valAx>
      <c:spPr>
        <a:noFill/>
        <a:ln w="25354">
          <a:noFill/>
        </a:ln>
      </c:spPr>
    </c:plotArea>
    <c:legend>
      <c:legendPos val="b"/>
      <c:layout>
        <c:manualLayout>
          <c:xMode val="edge"/>
          <c:yMode val="edge"/>
          <c:x val="3.2876202974628177E-2"/>
          <c:y val="0.85850054457478531"/>
          <c:w val="0.90860656840971799"/>
          <c:h val="0.11428857107147319"/>
        </c:manualLayout>
      </c:layout>
      <c:overlay val="0"/>
      <c:spPr>
        <a:noFill/>
        <a:ln w="25354">
          <a:noFill/>
        </a:ln>
      </c:spPr>
      <c:txPr>
        <a:bodyPr rot="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1">
                    <a:lumMod val="65000"/>
                    <a:lumOff val="35000"/>
                  </a:schemeClr>
                </a:solidFill>
                <a:latin typeface="+mn-lt"/>
                <a:ea typeface="+mn-ea"/>
                <a:cs typeface="+mn-cs"/>
              </a:defRPr>
            </a:pPr>
            <a:r>
              <a:rPr lang="ru-RU" sz="1398">
                <a:solidFill>
                  <a:sysClr val="windowText" lastClr="000000"/>
                </a:solidFill>
              </a:rPr>
              <a:t>Показатели уровня жизни</a:t>
            </a:r>
            <a:r>
              <a:rPr lang="ru-RU" sz="1398" baseline="0">
                <a:solidFill>
                  <a:sysClr val="windowText" lastClr="000000"/>
                </a:solidFill>
              </a:rPr>
              <a:t> населения, руб.</a:t>
            </a:r>
            <a:endParaRPr lang="ru-RU" sz="1400">
              <a:solidFill>
                <a:sysClr val="windowText" lastClr="000000"/>
              </a:solidFill>
            </a:endParaRPr>
          </a:p>
        </c:rich>
      </c:tx>
      <c:overlay val="0"/>
      <c:spPr>
        <a:noFill/>
        <a:ln w="25370">
          <a:noFill/>
        </a:ln>
      </c:spPr>
    </c:title>
    <c:autoTitleDeleted val="0"/>
    <c:plotArea>
      <c:layout/>
      <c:barChart>
        <c:barDir val="col"/>
        <c:grouping val="clustered"/>
        <c:varyColors val="0"/>
        <c:ser>
          <c:idx val="0"/>
          <c:order val="0"/>
          <c:tx>
            <c:strRef>
              <c:f>Лист1!$B$1</c:f>
              <c:strCache>
                <c:ptCount val="1"/>
                <c:pt idx="0">
                  <c:v>Среднемесячная зарплата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0.0</c:formatCode>
                <c:ptCount val="7"/>
                <c:pt idx="0" formatCode="General">
                  <c:v>43112.5</c:v>
                </c:pt>
                <c:pt idx="1">
                  <c:v>50628.6</c:v>
                </c:pt>
                <c:pt idx="2">
                  <c:v>56602.2</c:v>
                </c:pt>
                <c:pt idx="3">
                  <c:v>62600.5</c:v>
                </c:pt>
                <c:pt idx="4">
                  <c:v>66765</c:v>
                </c:pt>
                <c:pt idx="5">
                  <c:v>67448</c:v>
                </c:pt>
                <c:pt idx="6">
                  <c:v>69107.3</c:v>
                </c:pt>
              </c:numCache>
            </c:numRef>
          </c:val>
        </c:ser>
        <c:ser>
          <c:idx val="1"/>
          <c:order val="1"/>
          <c:tx>
            <c:strRef>
              <c:f>Лист1!$C$1</c:f>
              <c:strCache>
                <c:ptCount val="1"/>
                <c:pt idx="0">
                  <c:v>Среднемесячный размер пенсии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0.0</c:formatCode>
                <c:ptCount val="7"/>
                <c:pt idx="0" formatCode="General">
                  <c:v>12746.6</c:v>
                </c:pt>
                <c:pt idx="1">
                  <c:v>14803.1</c:v>
                </c:pt>
                <c:pt idx="2">
                  <c:v>15946.6</c:v>
                </c:pt>
                <c:pt idx="3">
                  <c:v>16372.8</c:v>
                </c:pt>
                <c:pt idx="4">
                  <c:v>17729.2</c:v>
                </c:pt>
                <c:pt idx="5">
                  <c:v>19605.900000000001</c:v>
                </c:pt>
                <c:pt idx="6">
                  <c:v>19970.400000000001</c:v>
                </c:pt>
              </c:numCache>
            </c:numRef>
          </c:val>
        </c:ser>
        <c:ser>
          <c:idx val="2"/>
          <c:order val="2"/>
          <c:tx>
            <c:strRef>
              <c:f>Лист1!$D$1</c:f>
              <c:strCache>
                <c:ptCount val="1"/>
                <c:pt idx="0">
                  <c:v>Среднедушевой доход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0.0</c:formatCode>
                <c:ptCount val="7"/>
                <c:pt idx="0" formatCode="General">
                  <c:v>33981.1</c:v>
                </c:pt>
                <c:pt idx="1">
                  <c:v>40156.6</c:v>
                </c:pt>
                <c:pt idx="2">
                  <c:v>42778</c:v>
                </c:pt>
                <c:pt idx="3">
                  <c:v>45098</c:v>
                </c:pt>
                <c:pt idx="4">
                  <c:v>46811.7</c:v>
                </c:pt>
                <c:pt idx="5">
                  <c:v>47590.400000000001</c:v>
                </c:pt>
                <c:pt idx="6">
                  <c:v>47714.5</c:v>
                </c:pt>
              </c:numCache>
            </c:numRef>
          </c:val>
        </c:ser>
        <c:dLbls>
          <c:showLegendKey val="0"/>
          <c:showVal val="0"/>
          <c:showCatName val="0"/>
          <c:showSerName val="0"/>
          <c:showPercent val="0"/>
          <c:showBubbleSize val="0"/>
        </c:dLbls>
        <c:gapWidth val="100"/>
        <c:overlap val="-24"/>
        <c:axId val="145536896"/>
        <c:axId val="145538432"/>
      </c:barChart>
      <c:catAx>
        <c:axId val="145536896"/>
        <c:scaling>
          <c:orientation val="minMax"/>
        </c:scaling>
        <c:delete val="0"/>
        <c:axPos val="b"/>
        <c:numFmt formatCode="General" sourceLinked="1"/>
        <c:majorTickMark val="none"/>
        <c:minorTickMark val="none"/>
        <c:tickLblPos val="nextTo"/>
        <c:spPr>
          <a:noFill/>
          <a:ln w="1268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crossAx val="145538432"/>
        <c:crosses val="autoZero"/>
        <c:auto val="1"/>
        <c:lblAlgn val="ctr"/>
        <c:lblOffset val="100"/>
        <c:noMultiLvlLbl val="0"/>
      </c:catAx>
      <c:valAx>
        <c:axId val="145538432"/>
        <c:scaling>
          <c:orientation val="minMax"/>
        </c:scaling>
        <c:delete val="1"/>
        <c:axPos val="l"/>
        <c:numFmt formatCode="General" sourceLinked="1"/>
        <c:majorTickMark val="out"/>
        <c:minorTickMark val="none"/>
        <c:tickLblPos val="nextTo"/>
        <c:crossAx val="145536896"/>
        <c:crosses val="autoZero"/>
        <c:crossBetween val="between"/>
      </c:valAx>
      <c:spPr>
        <a:noFill/>
        <a:ln w="25370">
          <a:noFill/>
        </a:ln>
      </c:spPr>
    </c:plotArea>
    <c:legend>
      <c:legendPos val="b"/>
      <c:overlay val="0"/>
      <c:spPr>
        <a:noFill/>
        <a:ln w="25370">
          <a:noFill/>
        </a:ln>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99" b="1" i="0" u="none" strike="noStrike" baseline="0">
                <a:effectLst/>
              </a:rPr>
              <a:t>Обеспеченность </a:t>
            </a:r>
            <a:r>
              <a:rPr lang="ru-RU" sz="1399"/>
              <a:t>жилищного фонда холодной водой, %</a:t>
            </a:r>
          </a:p>
        </c:rich>
      </c:tx>
      <c:overlay val="0"/>
      <c:spPr>
        <a:noFill/>
        <a:ln w="25389">
          <a:noFill/>
        </a:ln>
      </c:spPr>
    </c:title>
    <c:autoTitleDeleted val="0"/>
    <c:view3D>
      <c:rotX val="15"/>
      <c:rotY val="20"/>
      <c:depthPercent val="10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3.0073567446404968E-2"/>
          <c:y val="0.17470088430619385"/>
          <c:w val="0.94199995233081202"/>
          <c:h val="0.70948077680392074"/>
        </c:manualLayout>
      </c:layout>
      <c:bar3DChart>
        <c:barDir val="col"/>
        <c:grouping val="clustered"/>
        <c:varyColors val="0"/>
        <c:ser>
          <c:idx val="0"/>
          <c:order val="0"/>
          <c:tx>
            <c:strRef>
              <c:f>Лист1!$A$2</c:f>
              <c:strCache>
                <c:ptCount val="1"/>
                <c:pt idx="0">
                  <c:v>Холодная вода</c:v>
                </c:pt>
              </c:strCache>
            </c:strRef>
          </c:tx>
          <c:spPr>
            <a:solidFill>
              <a:srgbClr val="0000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2226877215597811E-2"/>
                  <c:y val="-3.96825396825397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781501772478246E-2"/>
                  <c:y val="-3.57142857142857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781501772478246E-2"/>
                  <c:y val="-2.77777777777778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929960253518099E-2"/>
                  <c:y val="-2.5994152046783608E-2"/>
                </c:manualLayout>
              </c:layout>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93,5</a:t>
                    </a:r>
                  </a:p>
                </c:rich>
              </c:tx>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25389">
                <a:noFill/>
              </a:ln>
            </c:spPr>
            <c:txPr>
              <a:bodyPr rot="0" spcFirstLastPara="1" vertOverflow="ellipsis" vert="horz" wrap="square" lIns="38100" tIns="19050" rIns="38100" bIns="19050" anchor="ctr" anchorCtr="1">
                <a:spAutoFit/>
              </a:bodyPr>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2012</c:v>
                </c:pt>
                <c:pt idx="1">
                  <c:v>2013</c:v>
                </c:pt>
                <c:pt idx="2">
                  <c:v>2014</c:v>
                </c:pt>
                <c:pt idx="3">
                  <c:v>2015</c:v>
                </c:pt>
                <c:pt idx="4">
                  <c:v>2016</c:v>
                </c:pt>
              </c:strCache>
            </c:strRef>
          </c:cat>
          <c:val>
            <c:numRef>
              <c:f>Лист1!$B$2:$F$2</c:f>
              <c:numCache>
                <c:formatCode>General</c:formatCode>
                <c:ptCount val="5"/>
                <c:pt idx="0">
                  <c:v>88.2</c:v>
                </c:pt>
                <c:pt idx="1">
                  <c:v>88.8</c:v>
                </c:pt>
                <c:pt idx="2">
                  <c:v>90.1</c:v>
                </c:pt>
                <c:pt idx="3">
                  <c:v>91.3</c:v>
                </c:pt>
                <c:pt idx="4">
                  <c:v>91.3</c:v>
                </c:pt>
              </c:numCache>
            </c:numRef>
          </c:val>
          <c:shape val="cylinder"/>
        </c:ser>
        <c:dLbls>
          <c:showLegendKey val="0"/>
          <c:showVal val="0"/>
          <c:showCatName val="0"/>
          <c:showSerName val="0"/>
          <c:showPercent val="0"/>
          <c:showBubbleSize val="0"/>
        </c:dLbls>
        <c:gapWidth val="100"/>
        <c:shape val="box"/>
        <c:axId val="144880000"/>
        <c:axId val="144881536"/>
        <c:axId val="0"/>
      </c:bar3DChart>
      <c:catAx>
        <c:axId val="144880000"/>
        <c:scaling>
          <c:orientation val="minMax"/>
        </c:scaling>
        <c:delete val="0"/>
        <c:axPos val="b"/>
        <c:numFmt formatCode="General" sourceLinked="1"/>
        <c:majorTickMark val="none"/>
        <c:minorTickMark val="none"/>
        <c:tickLblPos val="nextTo"/>
        <c:spPr>
          <a:noFill/>
          <a:ln w="12695" cap="flat" cmpd="sng" algn="ctr">
            <a:solidFill>
              <a:schemeClr val="tx1">
                <a:lumMod val="15000"/>
                <a:lumOff val="85000"/>
              </a:schemeClr>
            </a:solidFill>
            <a:round/>
          </a:ln>
          <a:effectLst/>
        </c:spPr>
        <c:txPr>
          <a:bodyPr rot="-60000000" spcFirstLastPara="1" vertOverflow="ellipsis" vert="horz" wrap="square" anchor="ctr" anchorCtr="1"/>
          <a:lstStyle/>
          <a:p>
            <a:pPr>
              <a:defRPr sz="11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881536"/>
        <c:crosses val="autoZero"/>
        <c:auto val="1"/>
        <c:lblAlgn val="ctr"/>
        <c:lblOffset val="100"/>
        <c:noMultiLvlLbl val="0"/>
      </c:catAx>
      <c:valAx>
        <c:axId val="144881536"/>
        <c:scaling>
          <c:orientation val="minMax"/>
          <c:max val="89"/>
          <c:min val="87"/>
        </c:scaling>
        <c:delete val="1"/>
        <c:axPos val="l"/>
        <c:numFmt formatCode="General" sourceLinked="1"/>
        <c:majorTickMark val="out"/>
        <c:minorTickMark val="none"/>
        <c:tickLblPos val="nextTo"/>
        <c:crossAx val="144880000"/>
        <c:crosses val="autoZero"/>
        <c:crossBetween val="between"/>
      </c:valAx>
      <c:spPr>
        <a:noFill/>
        <a:ln w="25389">
          <a:noFill/>
        </a:ln>
      </c:spPr>
    </c:plotArea>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2890750886239123E-2"/>
          <c:y val="6.0402744639279964E-2"/>
          <c:w val="0.97421849822752171"/>
          <c:h val="0.85630497076023382"/>
        </c:manualLayout>
      </c:layout>
      <c:bar3DChart>
        <c:barDir val="col"/>
        <c:grouping val="clustered"/>
        <c:varyColors val="0"/>
        <c:ser>
          <c:idx val="0"/>
          <c:order val="0"/>
          <c:tx>
            <c:strRef>
              <c:f>Лист1!$A$2</c:f>
              <c:strCache>
                <c:ptCount val="1"/>
                <c:pt idx="0">
                  <c:v>Отопление</c:v>
                </c:pt>
              </c:strCache>
            </c:strRef>
          </c:tx>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2226956334091124E-2"/>
                  <c:y val="-2.17854815127974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781404475492188E-2"/>
                  <c:y val="1.58301185506174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781203735766298E-2"/>
                  <c:y val="-9.880744772675228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1">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2014</c:v>
                </c:pt>
                <c:pt idx="1">
                  <c:v>2015</c:v>
                </c:pt>
                <c:pt idx="2">
                  <c:v>2016</c:v>
                </c:pt>
              </c:strCache>
            </c:strRef>
          </c:cat>
          <c:val>
            <c:numRef>
              <c:f>Лист1!$B$2:$D$2</c:f>
              <c:numCache>
                <c:formatCode>General</c:formatCode>
                <c:ptCount val="3"/>
                <c:pt idx="0">
                  <c:v>74.400000000000006</c:v>
                </c:pt>
                <c:pt idx="1">
                  <c:v>75.2</c:v>
                </c:pt>
                <c:pt idx="2">
                  <c:v>75.400000000000006</c:v>
                </c:pt>
              </c:numCache>
            </c:numRef>
          </c:val>
          <c:shape val="pyramid"/>
        </c:ser>
        <c:dLbls>
          <c:showLegendKey val="0"/>
          <c:showVal val="0"/>
          <c:showCatName val="0"/>
          <c:showSerName val="0"/>
          <c:showPercent val="0"/>
          <c:showBubbleSize val="0"/>
        </c:dLbls>
        <c:gapWidth val="100"/>
        <c:shape val="box"/>
        <c:axId val="145492224"/>
        <c:axId val="146706432"/>
        <c:axId val="0"/>
      </c:bar3DChart>
      <c:catAx>
        <c:axId val="145492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6706432"/>
        <c:crosses val="autoZero"/>
        <c:auto val="1"/>
        <c:lblAlgn val="ctr"/>
        <c:lblOffset val="100"/>
        <c:noMultiLvlLbl val="0"/>
      </c:catAx>
      <c:valAx>
        <c:axId val="146706432"/>
        <c:scaling>
          <c:orientation val="minMax"/>
          <c:max val="74.8"/>
          <c:min val="70"/>
        </c:scaling>
        <c:delete val="1"/>
        <c:axPos val="l"/>
        <c:numFmt formatCode="General" sourceLinked="1"/>
        <c:majorTickMark val="out"/>
        <c:minorTickMark val="none"/>
        <c:tickLblPos val="nextTo"/>
        <c:crossAx val="145492224"/>
        <c:crosses val="autoZero"/>
        <c:crossBetween val="between"/>
      </c:valAx>
      <c:spPr>
        <a:noFill/>
        <a:ln w="25401">
          <a:noFill/>
        </a:ln>
      </c:spPr>
    </c:plotArea>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cene3d>
              <a:camera prst="orthographicFront"/>
              <a:lightRig rig="threePt" dir="t"/>
            </a:scene3d>
            <a:sp3d>
              <a:bevelT/>
            </a:sp3d>
          </c:spPr>
          <c:invertIfNegative val="0"/>
          <c:dLbls>
            <c:spPr>
              <a:noFill/>
              <a:ln>
                <a:noFill/>
              </a:ln>
              <a:effectLst/>
            </c:spPr>
            <c:txPr>
              <a:bodyPr/>
              <a:lstStyle/>
              <a:p>
                <a:pPr>
                  <a:defRPr sz="105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Лист1!$A$41:$A$44</c:f>
              <c:strCache>
                <c:ptCount val="4"/>
                <c:pt idx="0">
                  <c:v>2013 год</c:v>
                </c:pt>
                <c:pt idx="1">
                  <c:v>2014 год</c:v>
                </c:pt>
                <c:pt idx="2">
                  <c:v>2015 год</c:v>
                </c:pt>
                <c:pt idx="3">
                  <c:v>2016 год</c:v>
                </c:pt>
              </c:strCache>
            </c:strRef>
          </c:cat>
          <c:val>
            <c:numRef>
              <c:f>Лист1!$B$41:$B$44</c:f>
              <c:numCache>
                <c:formatCode>General</c:formatCode>
                <c:ptCount val="4"/>
                <c:pt idx="0">
                  <c:v>112</c:v>
                </c:pt>
                <c:pt idx="1">
                  <c:v>34</c:v>
                </c:pt>
                <c:pt idx="2">
                  <c:v>110</c:v>
                </c:pt>
                <c:pt idx="3">
                  <c:v>262</c:v>
                </c:pt>
              </c:numCache>
            </c:numRef>
          </c:val>
        </c:ser>
        <c:dLbls>
          <c:showLegendKey val="0"/>
          <c:showVal val="0"/>
          <c:showCatName val="0"/>
          <c:showSerName val="0"/>
          <c:showPercent val="0"/>
          <c:showBubbleSize val="0"/>
        </c:dLbls>
        <c:gapWidth val="24"/>
        <c:overlap val="-87"/>
        <c:axId val="146734464"/>
        <c:axId val="146719872"/>
      </c:barChart>
      <c:catAx>
        <c:axId val="146734464"/>
        <c:scaling>
          <c:orientation val="minMax"/>
        </c:scaling>
        <c:delete val="0"/>
        <c:axPos val="b"/>
        <c:numFmt formatCode="General" sourceLinked="1"/>
        <c:majorTickMark val="out"/>
        <c:minorTickMark val="none"/>
        <c:tickLblPos val="nextTo"/>
        <c:txPr>
          <a:bodyPr/>
          <a:lstStyle/>
          <a:p>
            <a:pPr>
              <a:defRPr sz="1050" b="0" i="0" baseline="0"/>
            </a:pPr>
            <a:endParaRPr lang="ru-RU"/>
          </a:p>
        </c:txPr>
        <c:crossAx val="146719872"/>
        <c:crosses val="autoZero"/>
        <c:auto val="1"/>
        <c:lblAlgn val="ctr"/>
        <c:lblOffset val="100"/>
        <c:noMultiLvlLbl val="0"/>
      </c:catAx>
      <c:valAx>
        <c:axId val="146719872"/>
        <c:scaling>
          <c:orientation val="minMax"/>
        </c:scaling>
        <c:delete val="1"/>
        <c:axPos val="l"/>
        <c:majorGridlines>
          <c:spPr>
            <a:ln w="3175">
              <a:solidFill>
                <a:schemeClr val="accent1"/>
              </a:solidFill>
            </a:ln>
          </c:spPr>
        </c:majorGridlines>
        <c:numFmt formatCode="General" sourceLinked="1"/>
        <c:majorTickMark val="out"/>
        <c:minorTickMark val="none"/>
        <c:tickLblPos val="nextTo"/>
        <c:crossAx val="1467344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cene3d>
              <a:camera prst="orthographicFront"/>
              <a:lightRig rig="threePt" dir="t"/>
            </a:scene3d>
            <a:sp3d>
              <a:bevelT/>
            </a:sp3d>
          </c:spPr>
          <c:invertIfNegative val="0"/>
          <c:dLbls>
            <c:dLbl>
              <c:idx val="3"/>
              <c:tx>
                <c:rich>
                  <a:bodyPr/>
                  <a:lstStyle/>
                  <a:p>
                    <a:r>
                      <a:rPr lang="en-US" sz="1000" b="1" i="0" baseline="0"/>
                      <a:t>2240</a:t>
                    </a:r>
                    <a:endParaRPr lang="en-US" sz="1000"/>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Лист1!$A$45:$A$48</c:f>
              <c:strCache>
                <c:ptCount val="4"/>
                <c:pt idx="0">
                  <c:v>2013 год</c:v>
                </c:pt>
                <c:pt idx="1">
                  <c:v>2014 год</c:v>
                </c:pt>
                <c:pt idx="2">
                  <c:v>2015 год</c:v>
                </c:pt>
                <c:pt idx="3">
                  <c:v>2016 год</c:v>
                </c:pt>
              </c:strCache>
            </c:strRef>
          </c:cat>
          <c:val>
            <c:numRef>
              <c:f>Лист1!$B$45:$B$48</c:f>
              <c:numCache>
                <c:formatCode>General</c:formatCode>
                <c:ptCount val="4"/>
                <c:pt idx="0">
                  <c:v>308</c:v>
                </c:pt>
                <c:pt idx="1">
                  <c:v>964</c:v>
                </c:pt>
                <c:pt idx="2">
                  <c:v>1566</c:v>
                </c:pt>
                <c:pt idx="3">
                  <c:v>2240</c:v>
                </c:pt>
              </c:numCache>
            </c:numRef>
          </c:val>
        </c:ser>
        <c:dLbls>
          <c:showLegendKey val="0"/>
          <c:showVal val="0"/>
          <c:showCatName val="0"/>
          <c:showSerName val="0"/>
          <c:showPercent val="0"/>
          <c:showBubbleSize val="0"/>
        </c:dLbls>
        <c:gapWidth val="150"/>
        <c:axId val="145318656"/>
        <c:axId val="145320192"/>
      </c:barChart>
      <c:catAx>
        <c:axId val="145318656"/>
        <c:scaling>
          <c:orientation val="minMax"/>
        </c:scaling>
        <c:delete val="0"/>
        <c:axPos val="b"/>
        <c:numFmt formatCode="General" sourceLinked="0"/>
        <c:majorTickMark val="out"/>
        <c:minorTickMark val="none"/>
        <c:tickLblPos val="nextTo"/>
        <c:txPr>
          <a:bodyPr/>
          <a:lstStyle/>
          <a:p>
            <a:pPr>
              <a:defRPr sz="1000" b="0" i="0" baseline="0"/>
            </a:pPr>
            <a:endParaRPr lang="ru-RU"/>
          </a:p>
        </c:txPr>
        <c:crossAx val="145320192"/>
        <c:crosses val="autoZero"/>
        <c:auto val="1"/>
        <c:lblAlgn val="ctr"/>
        <c:lblOffset val="100"/>
        <c:noMultiLvlLbl val="0"/>
      </c:catAx>
      <c:valAx>
        <c:axId val="145320192"/>
        <c:scaling>
          <c:orientation val="minMax"/>
        </c:scaling>
        <c:delete val="1"/>
        <c:axPos val="l"/>
        <c:majorGridlines/>
        <c:numFmt formatCode="General" sourceLinked="1"/>
        <c:majorTickMark val="out"/>
        <c:minorTickMark val="none"/>
        <c:tickLblPos val="nextTo"/>
        <c:crossAx val="1453186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Лист1!$A$49:$A$52</c:f>
              <c:strCache>
                <c:ptCount val="4"/>
                <c:pt idx="0">
                  <c:v>2013 год</c:v>
                </c:pt>
                <c:pt idx="1">
                  <c:v>2014 год</c:v>
                </c:pt>
                <c:pt idx="2">
                  <c:v>2015 год</c:v>
                </c:pt>
                <c:pt idx="3">
                  <c:v>2016 год</c:v>
                </c:pt>
              </c:strCache>
            </c:strRef>
          </c:cat>
          <c:val>
            <c:numRef>
              <c:f>Лист1!$B$49:$B$52</c:f>
              <c:numCache>
                <c:formatCode>General</c:formatCode>
                <c:ptCount val="4"/>
                <c:pt idx="0">
                  <c:v>8000</c:v>
                </c:pt>
                <c:pt idx="1">
                  <c:v>12000</c:v>
                </c:pt>
                <c:pt idx="2">
                  <c:v>20248</c:v>
                </c:pt>
                <c:pt idx="3">
                  <c:v>22352</c:v>
                </c:pt>
              </c:numCache>
            </c:numRef>
          </c:val>
          <c:extLst xmlns:c16r2="http://schemas.microsoft.com/office/drawing/2015/06/chart">
            <c:ext xmlns:c16="http://schemas.microsoft.com/office/drawing/2014/chart" uri="{C3380CC4-5D6E-409C-BE32-E72D297353CC}">
              <c16:uniqueId val="{00000000-8E5D-42FF-972A-8813E575B961}"/>
            </c:ext>
          </c:extLst>
        </c:ser>
        <c:dLbls>
          <c:showLegendKey val="0"/>
          <c:showVal val="0"/>
          <c:showCatName val="0"/>
          <c:showSerName val="0"/>
          <c:showPercent val="0"/>
          <c:showBubbleSize val="0"/>
        </c:dLbls>
        <c:gapWidth val="150"/>
        <c:axId val="145340672"/>
        <c:axId val="145350656"/>
      </c:barChart>
      <c:catAx>
        <c:axId val="145340672"/>
        <c:scaling>
          <c:orientation val="minMax"/>
        </c:scaling>
        <c:delete val="0"/>
        <c:axPos val="b"/>
        <c:numFmt formatCode="General" sourceLinked="0"/>
        <c:majorTickMark val="out"/>
        <c:minorTickMark val="none"/>
        <c:tickLblPos val="nextTo"/>
        <c:crossAx val="145350656"/>
        <c:crosses val="autoZero"/>
        <c:auto val="1"/>
        <c:lblAlgn val="ctr"/>
        <c:lblOffset val="100"/>
        <c:noMultiLvlLbl val="0"/>
      </c:catAx>
      <c:valAx>
        <c:axId val="145350656"/>
        <c:scaling>
          <c:orientation val="minMax"/>
        </c:scaling>
        <c:delete val="1"/>
        <c:axPos val="l"/>
        <c:majorGridlines/>
        <c:numFmt formatCode="General" sourceLinked="1"/>
        <c:majorTickMark val="out"/>
        <c:minorTickMark val="none"/>
        <c:tickLblPos val="nextTo"/>
        <c:crossAx val="1453406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BE02-0240-4CDE-9682-160142D9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13308</Words>
  <Characters>75862</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Кашина</dc:creator>
  <cp:lastModifiedBy>Малюгина Людмила Анатольевна</cp:lastModifiedBy>
  <cp:revision>2</cp:revision>
  <cp:lastPrinted>2017-05-05T11:51:00Z</cp:lastPrinted>
  <dcterms:created xsi:type="dcterms:W3CDTF">2017-05-15T10:56:00Z</dcterms:created>
  <dcterms:modified xsi:type="dcterms:W3CDTF">2017-05-15T10:56:00Z</dcterms:modified>
</cp:coreProperties>
</file>