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A269B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gramStart"/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0E6BF6" w:rsidRPr="000E6BF6">
              <w:rPr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11.03.2016 №236 «Об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указанным образовательным организациям субсидий на возмещение затрат, включая</w:t>
            </w:r>
            <w:proofErr w:type="gramEnd"/>
            <w:r w:rsidR="000E6BF6" w:rsidRPr="000E6BF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0E6BF6" w:rsidRPr="000E6BF6">
              <w:rPr>
                <w:bCs/>
                <w:sz w:val="28"/>
                <w:szCs w:val="28"/>
              </w:rPr>
              <w:t>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 и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 выплаты компенсации педагогическим работникам, привлекаемым</w:t>
            </w:r>
            <w:proofErr w:type="gramEnd"/>
            <w:r w:rsidR="000E6BF6" w:rsidRPr="000E6BF6">
              <w:rPr>
                <w:bCs/>
                <w:sz w:val="28"/>
                <w:szCs w:val="28"/>
              </w:rPr>
              <w:t xml:space="preserve"> к проведению государственной итоговой аттестации</w:t>
            </w:r>
            <w:r w:rsidR="00A269B1" w:rsidRPr="00CE5F9D">
              <w:rPr>
                <w:bCs/>
                <w:sz w:val="28"/>
                <w:szCs w:val="28"/>
              </w:rPr>
              <w:t>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9B1404" w:rsidRPr="009B1404">
              <w:rPr>
                <w:sz w:val="28"/>
                <w:szCs w:val="28"/>
              </w:rPr>
              <w:t>RusinovaDA@admhmansy.ru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E6BF6">
              <w:rPr>
                <w:sz w:val="28"/>
                <w:szCs w:val="28"/>
                <w:lang w:eastAsia="en-US"/>
              </w:rPr>
              <w:t>20</w:t>
            </w:r>
            <w:r w:rsidR="00810A7C" w:rsidRPr="00CE5F9D">
              <w:rPr>
                <w:sz w:val="28"/>
                <w:szCs w:val="28"/>
                <w:lang w:eastAsia="en-US"/>
              </w:rPr>
              <w:t>.</w:t>
            </w:r>
            <w:r w:rsidR="009B1404">
              <w:rPr>
                <w:sz w:val="28"/>
                <w:szCs w:val="28"/>
                <w:lang w:eastAsia="en-US"/>
              </w:rPr>
              <w:t>0</w:t>
            </w:r>
            <w:r w:rsidR="000E6BF6"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</w:t>
            </w:r>
            <w:r w:rsidR="004A0555">
              <w:rPr>
                <w:sz w:val="28"/>
                <w:szCs w:val="28"/>
                <w:lang w:eastAsia="en-US"/>
              </w:rPr>
              <w:t>2</w:t>
            </w:r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0E6BF6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A0555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B1404"/>
    <w:rsid w:val="00A269B1"/>
    <w:rsid w:val="00A86BB8"/>
    <w:rsid w:val="00A93F43"/>
    <w:rsid w:val="00B83FBF"/>
    <w:rsid w:val="00BC2714"/>
    <w:rsid w:val="00CE2919"/>
    <w:rsid w:val="00CE5F9D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Анатольвена</cp:lastModifiedBy>
  <cp:revision>7</cp:revision>
  <dcterms:created xsi:type="dcterms:W3CDTF">2020-12-16T11:40:00Z</dcterms:created>
  <dcterms:modified xsi:type="dcterms:W3CDTF">2022-06-28T10:16:00Z</dcterms:modified>
</cp:coreProperties>
</file>